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852C3">
      <w:pPr>
        <w:ind w:firstLineChars="600" w:firstLine="1687"/>
        <w:jc w:val="left"/>
        <w:rPr>
          <w:rFonts w:ascii="楷体" w:eastAsia="楷体" w:hAnsi="楷体" w:cs="楷体" w:hint="eastAsia"/>
          <w:b/>
          <w:sz w:val="28"/>
          <w:szCs w:val="28"/>
        </w:rPr>
      </w:pPr>
      <w:r>
        <w:rPr>
          <w:rFonts w:ascii="等线 Light" w:hAnsi="等线 Light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-33655</wp:posOffset>
            </wp:positionV>
            <wp:extent cx="1126490" cy="115570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D9">
        <w:rPr>
          <w:rFonts w:ascii="楷体" w:eastAsia="楷体" w:hAnsi="楷体" w:cs="楷体" w:hint="eastAsia"/>
          <w:b/>
          <w:sz w:val="28"/>
          <w:szCs w:val="28"/>
        </w:rPr>
        <w:t>中南财经政法大学课程教学大纲</w:t>
      </w:r>
    </w:p>
    <w:p w:rsidR="00000000" w:rsidRDefault="00CD0BD9">
      <w:pPr>
        <w:ind w:firstLineChars="900" w:firstLine="253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Course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Syllabus</w:t>
      </w:r>
      <w:r>
        <w:rPr>
          <w:rFonts w:hint="eastAsia"/>
          <w:b/>
          <w:bCs/>
          <w:sz w:val="28"/>
          <w:szCs w:val="28"/>
        </w:rPr>
        <w:t xml:space="preserve"> of</w:t>
      </w:r>
    </w:p>
    <w:p w:rsidR="00000000" w:rsidRDefault="00CD0BD9">
      <w:pPr>
        <w:ind w:firstLineChars="300" w:firstLine="843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Zhongnan</w:t>
      </w:r>
      <w:r>
        <w:rPr>
          <w:rFonts w:hint="eastAsia"/>
          <w:b/>
          <w:bCs/>
          <w:sz w:val="28"/>
          <w:szCs w:val="28"/>
        </w:rPr>
        <w:t xml:space="preserve"> University</w:t>
      </w:r>
      <w:r>
        <w:rPr>
          <w:rFonts w:hint="eastAsia"/>
          <w:b/>
          <w:bCs/>
          <w:sz w:val="28"/>
          <w:szCs w:val="28"/>
        </w:rPr>
        <w:t xml:space="preserve"> of Economics and Law</w:t>
      </w:r>
    </w:p>
    <w:p w:rsidR="00000000" w:rsidRDefault="00CD0BD9">
      <w:pPr>
        <w:ind w:firstLineChars="300" w:firstLine="843"/>
        <w:rPr>
          <w:rFonts w:hint="eastAsia"/>
          <w:b/>
          <w:bCs/>
          <w:sz w:val="28"/>
          <w:szCs w:val="28"/>
        </w:rPr>
      </w:pPr>
    </w:p>
    <w:tbl>
      <w:tblPr>
        <w:tblStyle w:val="a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660"/>
        <w:gridCol w:w="22"/>
        <w:gridCol w:w="3302"/>
        <w:gridCol w:w="1411"/>
        <w:gridCol w:w="3158"/>
      </w:tblGrid>
      <w:tr w:rsidR="00000000">
        <w:trPr>
          <w:trHeight w:val="567"/>
          <w:jc w:val="center"/>
        </w:trPr>
        <w:tc>
          <w:tcPr>
            <w:tcW w:w="10553" w:type="dxa"/>
            <w:gridSpan w:val="5"/>
            <w:vAlign w:val="center"/>
          </w:tcPr>
          <w:p w:rsidR="00000000" w:rsidRDefault="00CD0BD9">
            <w:pPr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Course Title:</w:t>
            </w:r>
            <w:r w:rsidR="002852C3" w:rsidRPr="002852C3">
              <w:rPr>
                <w:rFonts w:ascii="等线 Light" w:eastAsia="等线 Light" w:hAnsi="等线 Light" w:hint="eastAsia"/>
                <w:szCs w:val="21"/>
              </w:rPr>
              <w:t xml:space="preserve"> Corporate Finance</w:t>
            </w: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Course Code</w:t>
            </w:r>
          </w:p>
        </w:tc>
        <w:tc>
          <w:tcPr>
            <w:tcW w:w="3324" w:type="dxa"/>
            <w:gridSpan w:val="2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Semester</w:t>
            </w:r>
          </w:p>
        </w:tc>
        <w:tc>
          <w:tcPr>
            <w:tcW w:w="3158" w:type="dxa"/>
            <w:vAlign w:val="center"/>
          </w:tcPr>
          <w:p w:rsidR="00000000" w:rsidRDefault="00CD0BD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Teaching 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H</w:t>
            </w:r>
            <w:r>
              <w:rPr>
                <w:b/>
                <w:color w:val="000000"/>
                <w:kern w:val="0"/>
                <w:szCs w:val="21"/>
              </w:rPr>
              <w:t>ours</w:t>
            </w:r>
          </w:p>
        </w:tc>
        <w:tc>
          <w:tcPr>
            <w:tcW w:w="3324" w:type="dxa"/>
            <w:gridSpan w:val="2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Credits</w:t>
            </w:r>
          </w:p>
        </w:tc>
        <w:tc>
          <w:tcPr>
            <w:tcW w:w="3158" w:type="dxa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Prerequisites</w:t>
            </w:r>
          </w:p>
        </w:tc>
        <w:tc>
          <w:tcPr>
            <w:tcW w:w="7893" w:type="dxa"/>
            <w:gridSpan w:val="4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0553" w:type="dxa"/>
            <w:gridSpan w:val="5"/>
            <w:vAlign w:val="center"/>
          </w:tcPr>
          <w:p w:rsidR="00000000" w:rsidRDefault="00CD0BD9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Instructor Information</w:t>
            </w: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3324" w:type="dxa"/>
            <w:gridSpan w:val="2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158" w:type="dxa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Institute</w:t>
            </w:r>
          </w:p>
        </w:tc>
        <w:tc>
          <w:tcPr>
            <w:tcW w:w="7893" w:type="dxa"/>
            <w:gridSpan w:val="4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color w:val="2B2B2B"/>
                <w:szCs w:val="21"/>
              </w:rPr>
              <w:t xml:space="preserve">Applicable </w:t>
            </w:r>
            <w:r>
              <w:rPr>
                <w:rFonts w:hint="eastAsia"/>
                <w:b/>
                <w:color w:val="2B2B2B"/>
                <w:szCs w:val="21"/>
              </w:rPr>
              <w:t>O</w:t>
            </w:r>
            <w:r>
              <w:rPr>
                <w:b/>
                <w:color w:val="2B2B2B"/>
                <w:szCs w:val="21"/>
              </w:rPr>
              <w:t>bject</w:t>
            </w:r>
          </w:p>
        </w:tc>
        <w:tc>
          <w:tcPr>
            <w:tcW w:w="7893" w:type="dxa"/>
            <w:gridSpan w:val="4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International Students</w:t>
            </w: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Course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Objectives</w:t>
            </w:r>
          </w:p>
        </w:tc>
        <w:tc>
          <w:tcPr>
            <w:tcW w:w="7893" w:type="dxa"/>
            <w:gridSpan w:val="4"/>
          </w:tcPr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pStyle w:val="tgt1"/>
              <w:spacing w:line="33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Course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escription</w:t>
            </w:r>
          </w:p>
          <w:p w:rsidR="00000000" w:rsidRDefault="00CD0BD9">
            <w:pPr>
              <w:pStyle w:val="tgt1"/>
              <w:spacing w:line="336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(200 words)</w:t>
            </w:r>
          </w:p>
        </w:tc>
        <w:tc>
          <w:tcPr>
            <w:tcW w:w="7893" w:type="dxa"/>
            <w:gridSpan w:val="4"/>
          </w:tcPr>
          <w:p w:rsidR="00000000" w:rsidRPr="002852C3" w:rsidRDefault="002852C3" w:rsidP="002852C3">
            <w:pPr>
              <w:pStyle w:val="a9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  <w:szCs w:val="21"/>
              </w:rPr>
            </w:pPr>
            <w:r w:rsidRPr="002852C3">
              <w:rPr>
                <w:rFonts w:ascii="等线 Light" w:eastAsia="等线 Light" w:hAnsi="等线 Light" w:cs="CMR12"/>
                <w:kern w:val="0"/>
                <w:szCs w:val="21"/>
              </w:rPr>
              <w:t xml:space="preserve">Corporate Finance course considers a number of hot topics that are at the center of research in corporate finance. The course builds on the financial first-year sequence, in particular on Corporate Finance Theory and Empirical Issues in Finance. In the first part of the course, we will cover dynamic corporate finance theory, specifically </w:t>
            </w:r>
            <w:r w:rsidRPr="002852C3">
              <w:rPr>
                <w:rFonts w:ascii="等线 Light" w:eastAsia="等线 Light" w:hAnsi="等线 Light"/>
                <w:kern w:val="0"/>
                <w:szCs w:val="21"/>
              </w:rPr>
              <w:t>Capital Budgeting/ Capital Structure/ Dividend Policy/M&amp;A/Corporate Governance</w:t>
            </w:r>
            <w:r w:rsidRPr="002852C3">
              <w:rPr>
                <w:rFonts w:ascii="等线 Light" w:eastAsia="等线 Light" w:hAnsi="等线 Light" w:cs="CMR12"/>
                <w:kern w:val="0"/>
                <w:szCs w:val="21"/>
              </w:rPr>
              <w:t>. In the second part of the course, we will cover classic topics depending on students 'interests.</w:t>
            </w: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Assess</w:t>
            </w:r>
            <w:r>
              <w:rPr>
                <w:rFonts w:hint="eastAsia"/>
                <w:b/>
                <w:color w:val="000000"/>
                <w:szCs w:val="21"/>
              </w:rPr>
              <w:t>m</w:t>
            </w:r>
            <w:r>
              <w:rPr>
                <w:b/>
                <w:color w:val="000000"/>
                <w:szCs w:val="21"/>
              </w:rPr>
              <w:t xml:space="preserve">ent </w:t>
            </w:r>
            <w:r>
              <w:rPr>
                <w:rFonts w:hint="eastAsia"/>
                <w:b/>
                <w:color w:val="000000"/>
                <w:szCs w:val="21"/>
              </w:rPr>
              <w:t>M</w:t>
            </w:r>
            <w:r>
              <w:rPr>
                <w:b/>
                <w:color w:val="000000"/>
                <w:szCs w:val="21"/>
              </w:rPr>
              <w:t>ethods</w:t>
            </w:r>
          </w:p>
        </w:tc>
        <w:tc>
          <w:tcPr>
            <w:tcW w:w="7893" w:type="dxa"/>
            <w:gridSpan w:val="4"/>
          </w:tcPr>
          <w:p w:rsidR="00000000" w:rsidRDefault="002852C3">
            <w:pPr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ourse</w:t>
            </w:r>
            <w:r>
              <w:rPr>
                <w:b/>
                <w:bCs/>
                <w:szCs w:val="21"/>
              </w:rPr>
              <w:t xml:space="preserve"> paper</w:t>
            </w:r>
            <w:bookmarkStart w:id="0" w:name="_GoBack"/>
            <w:bookmarkEnd w:id="0"/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60" w:type="dxa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Textbook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s and References</w:t>
            </w:r>
          </w:p>
        </w:tc>
        <w:tc>
          <w:tcPr>
            <w:tcW w:w="7893" w:type="dxa"/>
            <w:gridSpan w:val="4"/>
          </w:tcPr>
          <w:p w:rsidR="002852C3" w:rsidRDefault="002852C3" w:rsidP="002852C3">
            <w:pPr>
              <w:pStyle w:val="a9"/>
              <w:numPr>
                <w:ilvl w:val="0"/>
                <w:numId w:val="2"/>
              </w:numPr>
              <w:ind w:firstLineChars="0"/>
              <w:rPr>
                <w:bCs/>
                <w:szCs w:val="21"/>
              </w:rPr>
            </w:pPr>
            <w:r>
              <w:rPr>
                <w:bCs/>
                <w:szCs w:val="21"/>
              </w:rPr>
              <w:t>Financial Theory and Corporate Policy, Copeland, Weston and Shastri, 4th Edition.(2004)</w:t>
            </w:r>
          </w:p>
          <w:p w:rsidR="002852C3" w:rsidRDefault="002852C3" w:rsidP="002852C3">
            <w:pPr>
              <w:pStyle w:val="a9"/>
              <w:numPr>
                <w:ilvl w:val="0"/>
                <w:numId w:val="2"/>
              </w:numPr>
              <w:ind w:firstLineChars="0"/>
              <w:rPr>
                <w:bCs/>
                <w:szCs w:val="21"/>
              </w:rPr>
            </w:pPr>
            <w:r>
              <w:rPr>
                <w:bCs/>
                <w:szCs w:val="21"/>
              </w:rPr>
              <w:t>Corporate Finance: A Practical Approach, Clayman, M. R., Fridson, M. S., and George H. Troughton, 2nd ed., John Wiley &amp; Sons, (2008)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0553" w:type="dxa"/>
            <w:gridSpan w:val="5"/>
            <w:vAlign w:val="center"/>
          </w:tcPr>
          <w:p w:rsidR="00000000" w:rsidRDefault="00CD0BD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Course planning</w:t>
            </w: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Chap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t</w:t>
            </w:r>
            <w:r>
              <w:rPr>
                <w:b/>
                <w:color w:val="000000"/>
                <w:kern w:val="0"/>
                <w:szCs w:val="21"/>
              </w:rPr>
              <w:t>er 1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、资产定价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－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周</w:t>
            </w:r>
            <w:r>
              <w:rPr>
                <w:bCs/>
                <w:szCs w:val="21"/>
              </w:rPr>
              <w:t>)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Fama and French(1992,1993)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2) Jagadeesh and Titman(1993): Momentum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3) Cahart(1997):momentum</w:t>
            </w:r>
          </w:p>
          <w:p w:rsidR="00000000" w:rsidRDefault="00CD0BD9">
            <w:pPr>
              <w:rPr>
                <w:b/>
                <w:color w:val="000000"/>
                <w:szCs w:val="21"/>
              </w:rPr>
            </w:pPr>
          </w:p>
          <w:p w:rsidR="00000000" w:rsidRDefault="00CD0BD9">
            <w:pPr>
              <w:rPr>
                <w:b/>
                <w:color w:val="00000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Chap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t</w:t>
            </w:r>
            <w:r>
              <w:rPr>
                <w:b/>
                <w:color w:val="000000"/>
                <w:kern w:val="0"/>
                <w:szCs w:val="21"/>
              </w:rPr>
              <w:t xml:space="preserve">er 2 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、资本结构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－</w:t>
            </w: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周</w:t>
            </w:r>
            <w:r>
              <w:rPr>
                <w:bCs/>
                <w:szCs w:val="21"/>
              </w:rPr>
              <w:t>)</w:t>
            </w:r>
          </w:p>
          <w:p w:rsidR="00000000" w:rsidRPr="002852C3" w:rsidRDefault="002852C3">
            <w:pPr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1) Baker,M., and Wurgler,J.,2002,Market timing and capital structure, Journal of Financial Economics.</w:t>
            </w:r>
          </w:p>
          <w:p w:rsidR="00000000" w:rsidRDefault="00CD0BD9">
            <w:pPr>
              <w:rPr>
                <w:rFonts w:hint="eastAsia"/>
                <w:b/>
                <w:color w:val="000000"/>
                <w:szCs w:val="21"/>
              </w:rPr>
            </w:pPr>
          </w:p>
          <w:p w:rsidR="00000000" w:rsidRDefault="00CD0BD9">
            <w:pPr>
              <w:rPr>
                <w:rFonts w:hint="eastAsia"/>
                <w:b/>
                <w:color w:val="000000"/>
                <w:szCs w:val="21"/>
              </w:rPr>
            </w:pPr>
          </w:p>
          <w:p w:rsidR="00000000" w:rsidRDefault="00CD0BD9">
            <w:pPr>
              <w:rPr>
                <w:b/>
                <w:color w:val="000000"/>
                <w:szCs w:val="21"/>
              </w:rPr>
            </w:pPr>
          </w:p>
          <w:p w:rsidR="00000000" w:rsidRDefault="00CD0BD9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Chap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t</w:t>
            </w:r>
            <w:r>
              <w:rPr>
                <w:b/>
                <w:color w:val="000000"/>
                <w:kern w:val="0"/>
                <w:szCs w:val="21"/>
              </w:rPr>
              <w:t>er 3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、股利政策（第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－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1) Baker 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 xml:space="preserve"> M.,and Wurgler,J.,2004, A catering theory of dividends, Journal ofFinance 59,P1125-1165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2) DeAhgelo, DeAngelo and Skinner, Are Dividend Disappearing</w:t>
            </w:r>
            <w:r>
              <w:rPr>
                <w:rFonts w:hint="eastAsia"/>
                <w:bCs/>
                <w:szCs w:val="21"/>
              </w:rPr>
              <w:t>？</w:t>
            </w:r>
          </w:p>
          <w:p w:rsidR="00000000" w:rsidRDefault="002852C3" w:rsidP="002852C3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bCs/>
                <w:szCs w:val="21"/>
              </w:rPr>
              <w:t>3) Allen and Michaely, 2002,Payout Policy, North –Holland Handbook of Economics.</w:t>
            </w:r>
          </w:p>
          <w:p w:rsidR="00000000" w:rsidRDefault="00CD0BD9">
            <w:pPr>
              <w:rPr>
                <w:rFonts w:hint="eastAsia"/>
                <w:b/>
                <w:color w:val="000000"/>
                <w:szCs w:val="21"/>
              </w:rPr>
            </w:pPr>
          </w:p>
          <w:p w:rsidR="00000000" w:rsidRDefault="00CD0BD9">
            <w:pPr>
              <w:rPr>
                <w:b/>
                <w:color w:val="000000"/>
                <w:szCs w:val="21"/>
              </w:rPr>
            </w:pPr>
          </w:p>
          <w:p w:rsidR="00000000" w:rsidRDefault="00CD0BD9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Chapter 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、财务估价（第</w:t>
            </w:r>
            <w:r>
              <w:rPr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－</w:t>
            </w: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Campbell, J.Y. and R.J. Shiller, 1988, The Dividend-price Ratio and Expectations of Future Dividends and Discount Factors, Review of Financial Studies, 1,P195–228.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2) Campbell, J.Y., 1991, A Variance Decomposition for Stock Returns, EconomicJournal, 101,P157–179.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3) Vuolteenaho, Tuomo, 2002, What drives firm-level stock returns?, Journal of Finance 57 P233-264.</w:t>
            </w:r>
          </w:p>
          <w:p w:rsidR="00000000" w:rsidRPr="002852C3" w:rsidRDefault="00CD0BD9">
            <w:pPr>
              <w:rPr>
                <w:rFonts w:hint="eastAsia"/>
                <w:b/>
                <w:color w:val="000000"/>
                <w:szCs w:val="21"/>
              </w:rPr>
            </w:pPr>
          </w:p>
          <w:p w:rsidR="00000000" w:rsidRDefault="00CD0BD9">
            <w:pPr>
              <w:rPr>
                <w:b/>
                <w:color w:val="000000"/>
                <w:szCs w:val="21"/>
              </w:rPr>
            </w:pPr>
          </w:p>
          <w:p w:rsidR="00000000" w:rsidRDefault="00CD0BD9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lastRenderedPageBreak/>
              <w:t xml:space="preserve">Chapter 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、投资组合与基金管理（第</w:t>
            </w:r>
            <w:r>
              <w:rPr>
                <w:bCs/>
                <w:szCs w:val="21"/>
              </w:rPr>
              <w:t>9-10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Brown,S.J., and Goetzmann,W.N.,1997,Mutual fund style ,Journal of Financial Economics 43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P373-399</w:t>
            </w:r>
          </w:p>
          <w:p w:rsidR="00000000" w:rsidRDefault="00CD0BD9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000000" w:rsidRDefault="00CD0BD9">
            <w:pPr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、行为金融与行为公司财务（第</w:t>
            </w:r>
            <w:r>
              <w:rPr>
                <w:bCs/>
                <w:szCs w:val="21"/>
              </w:rPr>
              <w:t>10-11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Fama,E.,1998.Market efficiency, long-term returns and behavioral finance,Journal of financial economics 49,P283-306.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2)Baker,M.,Ruback,R.,and Wurgler,J.2006.Behavioral corporate finance:a survey.In the handbook of corporate finance: empirical corporate finance ,edited by Espen Eckbo.New York:Elsevier/North Holland.</w:t>
            </w:r>
          </w:p>
          <w:p w:rsidR="00000000" w:rsidRPr="002852C3" w:rsidRDefault="00CD0BD9" w:rsidP="002852C3">
            <w:pPr>
              <w:jc w:val="left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2852C3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2852C3" w:rsidRDefault="002852C3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、公司治理与公司财务（第</w:t>
            </w:r>
            <w:r>
              <w:rPr>
                <w:bCs/>
                <w:szCs w:val="21"/>
              </w:rPr>
              <w:t>12-13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Shleifer,A.,and Vishny,R.W.,1997, A survey of corporate governance,Journal of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Finance 52,P737-783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2) LLSV, 1997, Law and Finance, JPE</w:t>
            </w:r>
          </w:p>
          <w:p w:rsidR="002852C3" w:rsidRPr="002852C3" w:rsidRDefault="002852C3" w:rsidP="002852C3">
            <w:pPr>
              <w:jc w:val="left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2852C3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2852C3" w:rsidRDefault="002852C3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871" w:type="dxa"/>
            <w:gridSpan w:val="3"/>
            <w:vAlign w:val="center"/>
          </w:tcPr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、金融市场微观结构（第</w:t>
            </w:r>
            <w:r>
              <w:rPr>
                <w:bCs/>
                <w:szCs w:val="21"/>
              </w:rPr>
              <w:t>14-15</w:t>
            </w:r>
            <w:r>
              <w:rPr>
                <w:rFonts w:hint="eastAsia"/>
                <w:bCs/>
                <w:szCs w:val="21"/>
              </w:rPr>
              <w:t>周）</w:t>
            </w:r>
          </w:p>
          <w:p w:rsidR="002852C3" w:rsidRDefault="002852C3" w:rsidP="002852C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1) Madhavan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A.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2000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Market microstructure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bCs/>
                <w:szCs w:val="21"/>
              </w:rPr>
              <w:t>a survey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Journal of Financial Markets 3,P205-258</w:t>
            </w:r>
          </w:p>
          <w:p w:rsidR="002852C3" w:rsidRPr="002852C3" w:rsidRDefault="002852C3" w:rsidP="002852C3">
            <w:pPr>
              <w:pStyle w:val="a9"/>
              <w:ind w:left="360" w:firstLineChars="0" w:firstLine="0"/>
              <w:rPr>
                <w:rFonts w:ascii="等线 Light" w:eastAsia="等线 Light" w:hAnsi="等线 Light" w:hint="eastAsia"/>
                <w:szCs w:val="21"/>
              </w:rPr>
            </w:pPr>
            <w:r>
              <w:rPr>
                <w:bCs/>
                <w:kern w:val="0"/>
                <w:szCs w:val="21"/>
              </w:rPr>
              <w:t>2) Hasbrouck,J.1991.Measuring the information content of stock trades ,Journal of Finance 46,P179-207.</w:t>
            </w:r>
          </w:p>
        </w:tc>
      </w:tr>
      <w:tr w:rsidR="002852C3">
        <w:trPr>
          <w:trHeight w:val="567"/>
          <w:jc w:val="center"/>
        </w:trPr>
        <w:tc>
          <w:tcPr>
            <w:tcW w:w="2682" w:type="dxa"/>
            <w:gridSpan w:val="2"/>
            <w:vAlign w:val="center"/>
          </w:tcPr>
          <w:p w:rsidR="002852C3" w:rsidRDefault="002852C3">
            <w:pPr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871" w:type="dxa"/>
            <w:gridSpan w:val="3"/>
            <w:vAlign w:val="center"/>
          </w:tcPr>
          <w:p w:rsidR="002852C3" w:rsidRDefault="002852C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 w:rsidR="00CD0BD9" w:rsidRDefault="00CD0BD9">
      <w:pPr>
        <w:ind w:firstLineChars="300" w:firstLine="843"/>
        <w:rPr>
          <w:rFonts w:hint="eastAsia"/>
          <w:b/>
          <w:bCs/>
          <w:sz w:val="28"/>
          <w:szCs w:val="28"/>
        </w:rPr>
      </w:pPr>
    </w:p>
    <w:sectPr w:rsidR="00CD0BD9">
      <w:pgSz w:w="11906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D9" w:rsidRDefault="00CD0BD9" w:rsidP="002852C3">
      <w:r>
        <w:separator/>
      </w:r>
    </w:p>
  </w:endnote>
  <w:endnote w:type="continuationSeparator" w:id="0">
    <w:p w:rsidR="00CD0BD9" w:rsidRDefault="00CD0BD9" w:rsidP="0028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D9" w:rsidRDefault="00CD0BD9" w:rsidP="002852C3">
      <w:r>
        <w:separator/>
      </w:r>
    </w:p>
  </w:footnote>
  <w:footnote w:type="continuationSeparator" w:id="0">
    <w:p w:rsidR="00CD0BD9" w:rsidRDefault="00CD0BD9" w:rsidP="0028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4C8F"/>
    <w:multiLevelType w:val="hybridMultilevel"/>
    <w:tmpl w:val="FC5840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40FC9"/>
    <w:multiLevelType w:val="hybridMultilevel"/>
    <w:tmpl w:val="D99485C6"/>
    <w:lvl w:ilvl="0" w:tplc="1A988D7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JjMTQ4YTZjOTMyMzVlZWQyMWY2NjFmNWFiNGMxNTkifQ=="/>
  </w:docVars>
  <w:rsids>
    <w:rsidRoot w:val="008B3200"/>
    <w:rsid w:val="000A5BA8"/>
    <w:rsid w:val="001236D9"/>
    <w:rsid w:val="001857B2"/>
    <w:rsid w:val="002852C3"/>
    <w:rsid w:val="002D0E69"/>
    <w:rsid w:val="002F1131"/>
    <w:rsid w:val="003D5FB2"/>
    <w:rsid w:val="004C6A24"/>
    <w:rsid w:val="00510AE5"/>
    <w:rsid w:val="00516D69"/>
    <w:rsid w:val="00597125"/>
    <w:rsid w:val="005B29DC"/>
    <w:rsid w:val="006149F7"/>
    <w:rsid w:val="006B260D"/>
    <w:rsid w:val="00752B7F"/>
    <w:rsid w:val="008570F2"/>
    <w:rsid w:val="00876C61"/>
    <w:rsid w:val="008B3200"/>
    <w:rsid w:val="009E35A0"/>
    <w:rsid w:val="00A95D09"/>
    <w:rsid w:val="00B27B73"/>
    <w:rsid w:val="00CA0588"/>
    <w:rsid w:val="00CB039E"/>
    <w:rsid w:val="00CD0BD9"/>
    <w:rsid w:val="00D54EFD"/>
    <w:rsid w:val="00E650C3"/>
    <w:rsid w:val="00E826E3"/>
    <w:rsid w:val="00EA45E8"/>
    <w:rsid w:val="00F06ED2"/>
    <w:rsid w:val="0280574F"/>
    <w:rsid w:val="02D7261A"/>
    <w:rsid w:val="115B29B5"/>
    <w:rsid w:val="11A33565"/>
    <w:rsid w:val="37896BD1"/>
    <w:rsid w:val="69E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87128"/>
  <w15:chartTrackingRefBased/>
  <w15:docId w15:val="{DAB037E7-BD24-4F7C-914D-57FABE71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1624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  <w:rPr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ps">
    <w:name w:val="hps"/>
    <w:basedOn w:val="a0"/>
  </w:style>
  <w:style w:type="paragraph" w:customStyle="1" w:styleId="tgt1">
    <w:name w:val="tgt1"/>
    <w:basedOn w:val="a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2852C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Company>高发公司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Lenovo-</cp:lastModifiedBy>
  <cp:revision>2</cp:revision>
  <dcterms:created xsi:type="dcterms:W3CDTF">2022-11-18T15:24:00Z</dcterms:created>
  <dcterms:modified xsi:type="dcterms:W3CDTF">2022-11-18T15:24:00Z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EB73ED8ADDBF403F9EFA731D86CDC207</vt:lpwstr>
  </property>
</Properties>
</file>