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line="15" w:lineRule="atLeast"/>
        <w:jc w:val="center"/>
        <w:rPr>
          <w:rFonts w:ascii="Times New Roman" w:hAnsi="Times New Roman" w:eastAsiaTheme="majorEastAsia"/>
          <w:b/>
          <w:bCs/>
          <w:color w:val="343536"/>
          <w:sz w:val="44"/>
          <w:szCs w:val="44"/>
          <w:shd w:val="clear" w:color="auto" w:fill="FFFFFF"/>
        </w:rPr>
      </w:pPr>
      <w:bookmarkStart w:id="0" w:name="_GoBack"/>
      <w:bookmarkEnd w:id="0"/>
      <w:r>
        <w:rPr>
          <w:rFonts w:ascii="Times New Roman" w:hAnsi="Times New Roman" w:eastAsiaTheme="majorEastAsia"/>
          <w:b/>
          <w:bCs/>
          <w:color w:val="343536"/>
          <w:sz w:val="44"/>
          <w:szCs w:val="44"/>
          <w:shd w:val="clear" w:color="auto" w:fill="FFFFFF"/>
        </w:rPr>
        <w:t xml:space="preserve">Measures for Annual Evaluation of Scholarship for International Students of Zhongnan University of Economics and Law </w:t>
      </w:r>
    </w:p>
    <w:p>
      <w:pPr>
        <w:ind w:firstLine="643" w:firstLineChars="200"/>
        <w:rPr>
          <w:rFonts w:ascii="Times New Roman" w:hAnsi="Times New Roman" w:eastAsia="仿宋" w:cs="Times New Roman"/>
          <w:bCs/>
          <w:sz w:val="32"/>
          <w:szCs w:val="32"/>
        </w:rPr>
      </w:pPr>
      <w:r>
        <w:rPr>
          <w:rFonts w:ascii="Times New Roman" w:hAnsi="Times New Roman" w:eastAsia="仿宋" w:cs="Times New Roman"/>
          <w:b/>
          <w:sz w:val="32"/>
          <w:szCs w:val="32"/>
        </w:rPr>
        <w:t xml:space="preserve">Article 1 </w:t>
      </w:r>
      <w:r>
        <w:rPr>
          <w:rFonts w:ascii="Times New Roman" w:hAnsi="Times New Roman" w:eastAsia="仿宋" w:cs="Times New Roman"/>
          <w:bCs/>
          <w:sz w:val="32"/>
          <w:szCs w:val="32"/>
        </w:rPr>
        <w:t xml:space="preserve">In order to strengthen the management of scholarship from China's government and Zhongnan University of Economics and Law (ZUEL), give full play to the effect and role of various scholarship and improve the cultivation quality of the students receiving scholarship, these Measures are hereby formulated in accordance with the </w:t>
      </w:r>
      <w:r>
        <w:rPr>
          <w:rFonts w:ascii="Times New Roman" w:hAnsi="Times New Roman" w:eastAsia="仿宋" w:cs="Times New Roman"/>
          <w:bCs/>
          <w:i/>
          <w:iCs/>
          <w:sz w:val="32"/>
          <w:szCs w:val="32"/>
        </w:rPr>
        <w:t>Measures for Management of Scholarship from China's Government</w:t>
      </w:r>
      <w:r>
        <w:rPr>
          <w:rFonts w:ascii="Times New Roman" w:hAnsi="Times New Roman" w:eastAsia="仿宋" w:cs="Times New Roman"/>
          <w:bCs/>
          <w:sz w:val="32"/>
          <w:szCs w:val="32"/>
        </w:rPr>
        <w:t xml:space="preserve">, the </w:t>
      </w:r>
      <w:r>
        <w:rPr>
          <w:rFonts w:ascii="Times New Roman" w:hAnsi="Times New Roman" w:eastAsia="仿宋" w:cs="Times New Roman"/>
          <w:bCs/>
          <w:i/>
          <w:iCs/>
          <w:sz w:val="32"/>
          <w:szCs w:val="32"/>
        </w:rPr>
        <w:t xml:space="preserve">Measures for Annual Evaluation of Scholarship from China's Government </w:t>
      </w:r>
      <w:r>
        <w:rPr>
          <w:rFonts w:ascii="Times New Roman" w:hAnsi="Times New Roman" w:eastAsia="仿宋" w:cs="Times New Roman"/>
          <w:bCs/>
          <w:sz w:val="32"/>
          <w:szCs w:val="32"/>
        </w:rPr>
        <w:t xml:space="preserve">and the </w:t>
      </w:r>
      <w:r>
        <w:rPr>
          <w:rFonts w:ascii="Times New Roman" w:hAnsi="Times New Roman" w:eastAsia="仿宋" w:cs="Times New Roman"/>
          <w:bCs/>
          <w:i/>
          <w:iCs/>
          <w:sz w:val="32"/>
          <w:szCs w:val="32"/>
        </w:rPr>
        <w:t>Measures for Management of Scholarship offered to International Students by Zhongnan University of Economics and Law</w:t>
      </w:r>
      <w:r>
        <w:rPr>
          <w:rFonts w:ascii="Times New Roman" w:hAnsi="Times New Roman" w:eastAsia="仿宋" w:cs="Times New Roman"/>
          <w:bCs/>
          <w:sz w:val="32"/>
          <w:szCs w:val="32"/>
        </w:rPr>
        <w:t xml:space="preserve"> (ZUEL), and based on the relevant regulations of ZUEL. </w:t>
      </w:r>
    </w:p>
    <w:p>
      <w:pPr>
        <w:ind w:firstLine="643" w:firstLineChars="200"/>
        <w:rPr>
          <w:rFonts w:ascii="Times New Roman" w:hAnsi="Times New Roman" w:eastAsia="仿宋" w:cs="Times New Roman"/>
          <w:bCs/>
          <w:sz w:val="32"/>
          <w:szCs w:val="32"/>
        </w:rPr>
      </w:pPr>
      <w:r>
        <w:rPr>
          <w:rFonts w:ascii="Times New Roman" w:hAnsi="Times New Roman" w:eastAsia="仿宋" w:cs="Times New Roman"/>
          <w:b/>
          <w:sz w:val="32"/>
          <w:szCs w:val="32"/>
        </w:rPr>
        <w:t xml:space="preserve">Article 2 </w:t>
      </w:r>
      <w:r>
        <w:rPr>
          <w:rFonts w:ascii="Times New Roman" w:hAnsi="Times New Roman" w:eastAsia="仿宋" w:cs="Times New Roman"/>
          <w:bCs/>
          <w:sz w:val="32"/>
          <w:szCs w:val="32"/>
        </w:rPr>
        <w:t xml:space="preserve">Annual evaluation of scholarship from China's government refers to the comprehensive evaluation conducted annually to determine whether the international students supported by the scholarship offered by China's government (hereinafter referred to as government scholarship-funded students) are eligible to continue receiving the scholarship from China's government or re-qualified to receive such scholarship. </w:t>
      </w:r>
    </w:p>
    <w:p>
      <w:pPr>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Article 3 </w:t>
      </w:r>
      <w:r>
        <w:rPr>
          <w:rFonts w:ascii="Times New Roman" w:hAnsi="Times New Roman" w:eastAsia="仿宋" w:cs="Times New Roman"/>
          <w:bCs/>
          <w:sz w:val="32"/>
          <w:szCs w:val="32"/>
        </w:rPr>
        <w:t>Annual evaluation of scholarship from ZUEL refers to the comprehensive evaluation on the performance of the international students applying for "Studying-at-ZUEL" scholarship (hereinafter referred to as ZUEL scholarship-funded students) during the previous academic year to determine whether they are qualified to receive the "Studying-at-ZUEL" scholarship in the coming academic year and the amount of scholarship.</w:t>
      </w:r>
      <w:r>
        <w:rPr>
          <w:rFonts w:ascii="Times New Roman" w:hAnsi="Times New Roman" w:eastAsia="仿宋" w:cs="Times New Roman"/>
          <w:b/>
          <w:sz w:val="32"/>
          <w:szCs w:val="32"/>
        </w:rPr>
        <w:t xml:space="preserve"> </w:t>
      </w:r>
    </w:p>
    <w:p>
      <w:pPr>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 xml:space="preserve">Article 4 </w:t>
      </w:r>
      <w:r>
        <w:rPr>
          <w:rFonts w:ascii="Times New Roman" w:hAnsi="Times New Roman" w:eastAsia="仿宋" w:cs="Times New Roman"/>
          <w:sz w:val="32"/>
          <w:szCs w:val="32"/>
        </w:rPr>
        <w:t xml:space="preserve">Evaluation time and objects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The annual evaluation of scholarship for international students will be conducted in April to May every year. The evaluation objects are the government scholarship-funded students and ZUEL scholarship-funded students who apply for extension of the period of scholarship during the funding period or after expiration of the originally given study period. </w:t>
      </w:r>
    </w:p>
    <w:p>
      <w:pPr>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Article 5 </w:t>
      </w:r>
      <w:r>
        <w:rPr>
          <w:rFonts w:ascii="Times New Roman" w:hAnsi="Times New Roman" w:eastAsia="仿宋" w:cs="Times New Roman"/>
          <w:bCs/>
          <w:sz w:val="32"/>
          <w:szCs w:val="32"/>
        </w:rPr>
        <w:t>Evaluation contents</w:t>
      </w:r>
      <w:r>
        <w:rPr>
          <w:rFonts w:ascii="Times New Roman" w:hAnsi="Times New Roman" w:eastAsia="仿宋" w:cs="Times New Roman"/>
          <w:b/>
          <w:sz w:val="32"/>
          <w:szCs w:val="32"/>
        </w:rPr>
        <w:t xml:space="preserve">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 Academic achievements: mainly includes the scores of examinations and assessments during the first semester of the academic year and the basic learning conditions in the second semester.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(II) Comprehensive performance: mainly includes the academic attitude/research, ideological and moral conduct and cultural and sports activities. </w:t>
      </w:r>
    </w:p>
    <w:p>
      <w:pPr>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Article 6 </w:t>
      </w:r>
      <w:r>
        <w:rPr>
          <w:rFonts w:ascii="Times New Roman" w:hAnsi="Times New Roman" w:eastAsia="仿宋" w:cs="Times New Roman"/>
          <w:bCs/>
          <w:sz w:val="32"/>
          <w:szCs w:val="32"/>
        </w:rPr>
        <w:t>Evaluation rules</w:t>
      </w:r>
      <w:r>
        <w:rPr>
          <w:rFonts w:ascii="Times New Roman" w:hAnsi="Times New Roman" w:eastAsia="仿宋" w:cs="Times New Roman"/>
          <w:b/>
          <w:sz w:val="32"/>
          <w:szCs w:val="32"/>
        </w:rPr>
        <w:t xml:space="preserve">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(I)The evaluation is based on a percentage system, with 30 points for academic achievement, 20 points for academic attitude/research, 30 points for ideological and moral conduct, and 20 points for cultural and sports activities. International students with an overall score of 60 will be considered eligible.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(II) The academic attitude/research of international students will be evaluated by the school cultivating them and the ideological and moral conduct and cultural and sports activities will be evaluated by the International Education School. </w:t>
      </w:r>
    </w:p>
    <w:p>
      <w:pPr>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Article 7 </w:t>
      </w:r>
      <w:r>
        <w:rPr>
          <w:rFonts w:ascii="Times New Roman" w:hAnsi="Times New Roman" w:eastAsia="仿宋" w:cs="Times New Roman"/>
          <w:bCs/>
          <w:sz w:val="32"/>
          <w:szCs w:val="32"/>
        </w:rPr>
        <w:t>Scoring standard for academic achievements of international students</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In terms of scoring, the academic achievements of international students are subject to the total weighted average score (for postgraduates) and weighted average score (for undergraduates) issued by the academic affairs management system for postgraduates and undergraduates and the results of scores multiplying 30% will be adopted as the score for evaluation. </w:t>
      </w:r>
    </w:p>
    <w:p>
      <w:pPr>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Article 8 </w:t>
      </w:r>
      <w:r>
        <w:rPr>
          <w:rFonts w:ascii="Times New Roman" w:hAnsi="Times New Roman" w:eastAsia="仿宋" w:cs="Times New Roman"/>
          <w:bCs/>
          <w:sz w:val="32"/>
          <w:szCs w:val="32"/>
        </w:rPr>
        <w:t>Scoring standard for academic attitude/research of international students</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 The scoring of the academic attitude/research of international students will be conducted by the corresponding school cultivating them in accordance with their learning attitude, academic performance, communication with teachers and publication of academic papers. The minimum score will be 12 and the highest total score will be 20.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(II) International students who have participated in academic activities, published academic papers, obtained research projects and achieved technological invention results during the evaluation period and those who get scores of HSK will be entitled to the bonus points according to the following rules: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1. Bonus points for participating in academic activities/competitions and gaining awards: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2192"/>
        <w:gridCol w:w="1924"/>
        <w:gridCol w:w="1585"/>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1" w:type="dxa"/>
            <w:gridSpan w:val="2"/>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Level </w:t>
            </w:r>
          </w:p>
        </w:tc>
        <w:tc>
          <w:tcPr>
            <w:tcW w:w="2268"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International level (including national level) </w:t>
            </w:r>
          </w:p>
        </w:tc>
        <w:tc>
          <w:tcPr>
            <w:tcW w:w="1142"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Provincial and ministerial level </w:t>
            </w:r>
          </w:p>
        </w:tc>
        <w:tc>
          <w:tcPr>
            <w:tcW w:w="1141"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ZUEL-level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vMerge w:val="restart"/>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 xml:space="preserve">Rules </w:t>
            </w:r>
          </w:p>
        </w:tc>
        <w:tc>
          <w:tcPr>
            <w:tcW w:w="2369"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For participation </w:t>
            </w:r>
          </w:p>
        </w:tc>
        <w:tc>
          <w:tcPr>
            <w:tcW w:w="2268"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5</w:t>
            </w:r>
          </w:p>
        </w:tc>
        <w:tc>
          <w:tcPr>
            <w:tcW w:w="1142"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3</w:t>
            </w:r>
          </w:p>
        </w:tc>
        <w:tc>
          <w:tcPr>
            <w:tcW w:w="1141"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vMerge w:val="continue"/>
            <w:vAlign w:val="center"/>
          </w:tcPr>
          <w:p>
            <w:pPr>
              <w:rPr>
                <w:rFonts w:ascii="Times New Roman" w:hAnsi="Times New Roman" w:eastAsia="仿宋" w:cs="Times New Roman"/>
                <w:sz w:val="32"/>
                <w:szCs w:val="32"/>
              </w:rPr>
            </w:pPr>
          </w:p>
        </w:tc>
        <w:tc>
          <w:tcPr>
            <w:tcW w:w="2369"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For award-winning </w:t>
            </w:r>
          </w:p>
        </w:tc>
        <w:tc>
          <w:tcPr>
            <w:tcW w:w="2268"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15</w:t>
            </w:r>
          </w:p>
        </w:tc>
        <w:tc>
          <w:tcPr>
            <w:tcW w:w="1142"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10</w:t>
            </w:r>
          </w:p>
        </w:tc>
        <w:tc>
          <w:tcPr>
            <w:tcW w:w="1141"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vMerge w:val="continue"/>
            <w:vAlign w:val="center"/>
          </w:tcPr>
          <w:p>
            <w:pPr>
              <w:rPr>
                <w:rFonts w:ascii="Times New Roman" w:hAnsi="Times New Roman" w:eastAsia="仿宋" w:cs="Times New Roman"/>
                <w:sz w:val="32"/>
                <w:szCs w:val="32"/>
              </w:rPr>
            </w:pPr>
          </w:p>
        </w:tc>
        <w:tc>
          <w:tcPr>
            <w:tcW w:w="2369"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Ranking first place/First prize </w:t>
            </w:r>
          </w:p>
        </w:tc>
        <w:tc>
          <w:tcPr>
            <w:tcW w:w="2268"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20</w:t>
            </w:r>
          </w:p>
        </w:tc>
        <w:tc>
          <w:tcPr>
            <w:tcW w:w="1142"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15</w:t>
            </w:r>
          </w:p>
        </w:tc>
        <w:tc>
          <w:tcPr>
            <w:tcW w:w="1141"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5</w:t>
            </w:r>
          </w:p>
        </w:tc>
      </w:tr>
    </w:tbl>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2. Bonus points for publishing academic papers: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2994"/>
        <w:gridCol w:w="3513"/>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971" w:type="dxa"/>
            <w:gridSpan w:val="2"/>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Level of the paper published </w:t>
            </w:r>
          </w:p>
        </w:tc>
        <w:tc>
          <w:tcPr>
            <w:tcW w:w="3614"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International/national core journals and database </w:t>
            </w:r>
          </w:p>
        </w:tc>
        <w:tc>
          <w:tcPr>
            <w:tcW w:w="937"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Others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rPr>
                <w:rFonts w:ascii="Times New Roman" w:hAnsi="Times New Roman" w:eastAsia="仿宋" w:cs="Times New Roman"/>
                <w:sz w:val="32"/>
                <w:szCs w:val="32"/>
              </w:rPr>
            </w:pPr>
            <w:r>
              <w:rPr>
                <w:rFonts w:ascii="Times New Roman" w:hAnsi="Times New Roman" w:eastAsia="仿宋" w:cs="Times New Roman"/>
                <w:sz w:val="32"/>
                <w:szCs w:val="32"/>
              </w:rPr>
              <w:t xml:space="preserve">Rules </w:t>
            </w:r>
          </w:p>
          <w:p>
            <w:pPr>
              <w:rPr>
                <w:rFonts w:ascii="Times New Roman" w:hAnsi="Times New Roman" w:eastAsia="仿宋" w:cs="Times New Roman"/>
                <w:sz w:val="32"/>
                <w:szCs w:val="32"/>
              </w:rPr>
            </w:pPr>
          </w:p>
        </w:tc>
        <w:tc>
          <w:tcPr>
            <w:tcW w:w="3154"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Not the first author </w:t>
            </w:r>
          </w:p>
        </w:tc>
        <w:tc>
          <w:tcPr>
            <w:tcW w:w="3614"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5</w:t>
            </w:r>
          </w:p>
        </w:tc>
        <w:tc>
          <w:tcPr>
            <w:tcW w:w="937"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rPr>
                <w:rFonts w:ascii="Times New Roman" w:hAnsi="Times New Roman" w:eastAsia="仿宋" w:cs="Times New Roman"/>
                <w:sz w:val="32"/>
                <w:szCs w:val="32"/>
              </w:rPr>
            </w:pPr>
          </w:p>
        </w:tc>
        <w:tc>
          <w:tcPr>
            <w:tcW w:w="3154"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The first author </w:t>
            </w:r>
          </w:p>
        </w:tc>
        <w:tc>
          <w:tcPr>
            <w:tcW w:w="3614"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10</w:t>
            </w:r>
          </w:p>
        </w:tc>
        <w:tc>
          <w:tcPr>
            <w:tcW w:w="937"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rPr>
                <w:rFonts w:ascii="Times New Roman" w:hAnsi="Times New Roman" w:eastAsia="仿宋" w:cs="Times New Roman"/>
                <w:sz w:val="32"/>
                <w:szCs w:val="32"/>
              </w:rPr>
            </w:pPr>
          </w:p>
        </w:tc>
        <w:tc>
          <w:tcPr>
            <w:tcW w:w="3154"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Academic monograph (under cooperation with others) </w:t>
            </w:r>
          </w:p>
        </w:tc>
        <w:tc>
          <w:tcPr>
            <w:tcW w:w="4551" w:type="dxa"/>
            <w:gridSpan w:val="2"/>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rPr>
                <w:rFonts w:ascii="Times New Roman" w:hAnsi="Times New Roman" w:eastAsia="仿宋" w:cs="Times New Roman"/>
                <w:sz w:val="32"/>
                <w:szCs w:val="32"/>
              </w:rPr>
            </w:pPr>
          </w:p>
        </w:tc>
        <w:tc>
          <w:tcPr>
            <w:tcW w:w="3154"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Academic monograph (independently completed) </w:t>
            </w:r>
          </w:p>
        </w:tc>
        <w:tc>
          <w:tcPr>
            <w:tcW w:w="4551" w:type="dxa"/>
            <w:gridSpan w:val="2"/>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10</w:t>
            </w:r>
          </w:p>
        </w:tc>
      </w:tr>
    </w:tbl>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3. Bonus points for obtaining research projects and achieving technological invention results (subject to the corresponding </w:t>
      </w:r>
      <w:r>
        <w:rPr>
          <w:rFonts w:hint="eastAsia" w:ascii="Times New Roman" w:hAnsi="Times New Roman" w:eastAsia="仿宋" w:cs="Times New Roman"/>
          <w:sz w:val="32"/>
          <w:szCs w:val="32"/>
        </w:rPr>
        <w:t>authentication</w:t>
      </w:r>
      <w:r>
        <w:rPr>
          <w:rFonts w:ascii="Times New Roman" w:hAnsi="Times New Roman" w:eastAsia="仿宋" w:cs="Times New Roman"/>
          <w:sz w:val="32"/>
          <w:szCs w:val="32"/>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1851"/>
        <w:gridCol w:w="1642"/>
        <w:gridCol w:w="1686"/>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Level </w:t>
            </w:r>
          </w:p>
        </w:tc>
        <w:tc>
          <w:tcPr>
            <w:tcW w:w="1704"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International level </w:t>
            </w:r>
          </w:p>
        </w:tc>
        <w:tc>
          <w:tcPr>
            <w:tcW w:w="1704"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National level </w:t>
            </w:r>
          </w:p>
        </w:tc>
        <w:tc>
          <w:tcPr>
            <w:tcW w:w="1705"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Provincial and ministerial level </w:t>
            </w:r>
          </w:p>
        </w:tc>
        <w:tc>
          <w:tcPr>
            <w:tcW w:w="1705"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ZUEL-level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Rules </w:t>
            </w:r>
          </w:p>
        </w:tc>
        <w:tc>
          <w:tcPr>
            <w:tcW w:w="1704"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20</w:t>
            </w:r>
          </w:p>
        </w:tc>
        <w:tc>
          <w:tcPr>
            <w:tcW w:w="1704"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15</w:t>
            </w:r>
          </w:p>
        </w:tc>
        <w:tc>
          <w:tcPr>
            <w:tcW w:w="1705"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10</w:t>
            </w:r>
          </w:p>
        </w:tc>
        <w:tc>
          <w:tcPr>
            <w:tcW w:w="1705"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5</w:t>
            </w:r>
          </w:p>
        </w:tc>
      </w:tr>
    </w:tbl>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4. Bonus points for passing HSK examination in the evaluation period: </w:t>
      </w:r>
    </w:p>
    <w:tbl>
      <w:tblPr>
        <w:tblStyle w:val="6"/>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2331"/>
        <w:gridCol w:w="1556"/>
        <w:gridCol w:w="1611"/>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677" w:type="dxa"/>
            <w:gridSpan w:val="2"/>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Level </w:t>
            </w:r>
          </w:p>
        </w:tc>
        <w:tc>
          <w:tcPr>
            <w:tcW w:w="1556"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HSK Level-6 </w:t>
            </w:r>
          </w:p>
        </w:tc>
        <w:tc>
          <w:tcPr>
            <w:tcW w:w="1611"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HSK Level-5 </w:t>
            </w:r>
          </w:p>
        </w:tc>
        <w:tc>
          <w:tcPr>
            <w:tcW w:w="1690"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HSK Level-4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346" w:type="dxa"/>
            <w:vMerge w:val="restart"/>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Rules </w:t>
            </w:r>
          </w:p>
        </w:tc>
        <w:tc>
          <w:tcPr>
            <w:tcW w:w="2331"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Items lectured in Chinese </w:t>
            </w:r>
          </w:p>
        </w:tc>
        <w:tc>
          <w:tcPr>
            <w:tcW w:w="1556"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10</w:t>
            </w:r>
          </w:p>
        </w:tc>
        <w:tc>
          <w:tcPr>
            <w:tcW w:w="1611" w:type="dxa"/>
            <w:vAlign w:val="center"/>
          </w:tcPr>
          <w:p>
            <w:pPr>
              <w:jc w:val="center"/>
              <w:rPr>
                <w:rFonts w:ascii="Times New Roman" w:hAnsi="Times New Roman" w:eastAsia="仿宋" w:cs="Times New Roman"/>
                <w:sz w:val="32"/>
                <w:szCs w:val="32"/>
              </w:rPr>
            </w:pPr>
          </w:p>
        </w:tc>
        <w:tc>
          <w:tcPr>
            <w:tcW w:w="1690" w:type="dxa"/>
            <w:vAlign w:val="center"/>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346" w:type="dxa"/>
            <w:vMerge w:val="continue"/>
          </w:tcPr>
          <w:p>
            <w:pPr>
              <w:jc w:val="center"/>
              <w:rPr>
                <w:rFonts w:ascii="Times New Roman" w:hAnsi="Times New Roman" w:eastAsia="仿宋" w:cs="Times New Roman"/>
                <w:sz w:val="32"/>
                <w:szCs w:val="32"/>
              </w:rPr>
            </w:pPr>
          </w:p>
        </w:tc>
        <w:tc>
          <w:tcPr>
            <w:tcW w:w="2331" w:type="dxa"/>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Items lectured in English </w:t>
            </w:r>
          </w:p>
        </w:tc>
        <w:tc>
          <w:tcPr>
            <w:tcW w:w="1556"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15</w:t>
            </w:r>
          </w:p>
        </w:tc>
        <w:tc>
          <w:tcPr>
            <w:tcW w:w="1611"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10</w:t>
            </w:r>
          </w:p>
        </w:tc>
        <w:tc>
          <w:tcPr>
            <w:tcW w:w="1690"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5</w:t>
            </w:r>
          </w:p>
        </w:tc>
      </w:tr>
    </w:tbl>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 If the international students have participated in competitions (activities) of the same type, bonus points will be considered based on their best achievements in such competitions (activities). If the international students have participated in multiple competitions (</w:t>
      </w:r>
      <w:r>
        <w:rPr>
          <w:rFonts w:hint="eastAsia" w:ascii="Times New Roman" w:hAnsi="Times New Roman" w:eastAsia="仿宋" w:cs="Times New Roman"/>
          <w:sz w:val="32"/>
          <w:szCs w:val="32"/>
        </w:rPr>
        <w:t>activities</w:t>
      </w:r>
      <w:r>
        <w:rPr>
          <w:rFonts w:ascii="Times New Roman" w:hAnsi="Times New Roman" w:eastAsia="仿宋" w:cs="Times New Roman"/>
          <w:sz w:val="32"/>
          <w:szCs w:val="32"/>
        </w:rPr>
        <w:t>), bonus points will be considered according to the level of the competitions (</w:t>
      </w:r>
      <w:r>
        <w:rPr>
          <w:rFonts w:hint="eastAsia" w:ascii="Times New Roman" w:hAnsi="Times New Roman" w:eastAsia="仿宋" w:cs="Times New Roman"/>
          <w:sz w:val="32"/>
          <w:szCs w:val="32"/>
        </w:rPr>
        <w:t>activities</w:t>
      </w:r>
      <w:r>
        <w:rPr>
          <w:rFonts w:ascii="Times New Roman" w:hAnsi="Times New Roman" w:eastAsia="仿宋" w:cs="Times New Roman"/>
          <w:sz w:val="32"/>
          <w:szCs w:val="32"/>
        </w:rPr>
        <w:t xml:space="preserve">) or the highest prize or rankings they obtained, and no accumulation of bonus points will be considered. </w:t>
      </w:r>
    </w:p>
    <w:p>
      <w:pPr>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Article 9 </w:t>
      </w:r>
      <w:r>
        <w:rPr>
          <w:rFonts w:ascii="Times New Roman" w:hAnsi="Times New Roman" w:eastAsia="仿宋" w:cs="Times New Roman"/>
          <w:bCs/>
          <w:sz w:val="32"/>
          <w:szCs w:val="32"/>
        </w:rPr>
        <w:t>Scoring standard for ideological and moral conducts of international students</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 The ideological and moral conduct of international students is evaluated on a point deduction basis, with a full score as 30 points and a minimum score as 0 point.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(II) Points will be deducted according to the following standards if the international students have any of the following behaviors during the evaluation period: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1. 1-3 points will be deducted if the daily speech and behavior are not proper and cause bad influence but do not meet the criteria for disciplinary action.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2. 5-10 points will be deducted for intentional damage to public objects in classrooms, dormitories, and office areas which do not meet the criteria for disciplinary action.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3. 5 points will be deducted if the student is publicly criticized.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4. 10 points will be deducted if the student receives a warning.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5. 15 points will be deducted if the student receives a severe warning.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6. 20 points will be deducted if the student receives a demerit.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(III) An international student will receive 0 points for ethical conduct and a direct "fail" in the annual review if the student has any of the following behaviors during the evaluation period: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1. Violation of laws and regulations and punished by judicial departments or public security organs;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2. Dissemination of false and inaccurate information or inappropriate words or actions that cause serious adverse effects to ZUEL.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3. Receiving demerit or more severe punishment. </w:t>
      </w:r>
    </w:p>
    <w:p>
      <w:pPr>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Article 10 Scoring standards for cultural and sports activities of international students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 International students' performance in cultural and sports activities is quantified and scored by the International Education School based on international students' participation in various cultural and sports activities (including relevant activities organized by the corresponding school cultivating them), as well as their achievements in the respective fields through the use of their professional strengths and interests.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(II) International students who participate in social activities such as sports, arts or cultural exchange experiences, and have achieved achievements in their special hobbies will receive bonus points according to the following rules: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1. Bonus points for participating in sports, arts or social </w:t>
      </w:r>
      <w:r>
        <w:rPr>
          <w:rFonts w:hint="eastAsia" w:ascii="Times New Roman" w:hAnsi="Times New Roman" w:eastAsia="仿宋" w:cs="Times New Roman"/>
          <w:sz w:val="32"/>
          <w:szCs w:val="32"/>
        </w:rPr>
        <w:t>activities</w:t>
      </w:r>
      <w:r>
        <w:rPr>
          <w:rFonts w:ascii="Times New Roman" w:hAnsi="Times New Roman" w:eastAsia="仿宋" w:cs="Times New Roman"/>
          <w:sz w:val="32"/>
          <w:szCs w:val="32"/>
        </w:rPr>
        <w:t xml:space="preserve"> and winning awards: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2299"/>
        <w:gridCol w:w="1929"/>
        <w:gridCol w:w="1585"/>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1" w:type="dxa"/>
            <w:gridSpan w:val="2"/>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Level </w:t>
            </w:r>
          </w:p>
        </w:tc>
        <w:tc>
          <w:tcPr>
            <w:tcW w:w="2268"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International level (including national level) </w:t>
            </w:r>
          </w:p>
        </w:tc>
        <w:tc>
          <w:tcPr>
            <w:tcW w:w="992"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Provincial and ministerial level </w:t>
            </w:r>
          </w:p>
        </w:tc>
        <w:tc>
          <w:tcPr>
            <w:tcW w:w="901"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ZUEL-level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rPr>
                <w:rFonts w:ascii="Times New Roman" w:hAnsi="Times New Roman" w:eastAsia="仿宋" w:cs="Times New Roman"/>
                <w:sz w:val="32"/>
                <w:szCs w:val="32"/>
              </w:rPr>
            </w:pPr>
            <w:r>
              <w:rPr>
                <w:rFonts w:ascii="Times New Roman" w:hAnsi="Times New Roman" w:eastAsia="仿宋" w:cs="Times New Roman"/>
                <w:sz w:val="32"/>
                <w:szCs w:val="32"/>
              </w:rPr>
              <w:t xml:space="preserve">Rules </w:t>
            </w:r>
          </w:p>
          <w:p>
            <w:pPr>
              <w:rPr>
                <w:rFonts w:ascii="Times New Roman" w:hAnsi="Times New Roman" w:eastAsia="仿宋" w:cs="Times New Roman"/>
                <w:sz w:val="32"/>
                <w:szCs w:val="32"/>
              </w:rPr>
            </w:pPr>
          </w:p>
        </w:tc>
        <w:tc>
          <w:tcPr>
            <w:tcW w:w="3402"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For participation </w:t>
            </w:r>
          </w:p>
        </w:tc>
        <w:tc>
          <w:tcPr>
            <w:tcW w:w="2268"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5</w:t>
            </w:r>
          </w:p>
        </w:tc>
        <w:tc>
          <w:tcPr>
            <w:tcW w:w="992"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3</w:t>
            </w:r>
          </w:p>
        </w:tc>
        <w:tc>
          <w:tcPr>
            <w:tcW w:w="901"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rPr>
                <w:rFonts w:ascii="Times New Roman" w:hAnsi="Times New Roman" w:eastAsia="仿宋" w:cs="Times New Roman"/>
                <w:sz w:val="32"/>
                <w:szCs w:val="32"/>
              </w:rPr>
            </w:pPr>
          </w:p>
        </w:tc>
        <w:tc>
          <w:tcPr>
            <w:tcW w:w="3402"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Ranking among top/winning prizes </w:t>
            </w:r>
          </w:p>
        </w:tc>
        <w:tc>
          <w:tcPr>
            <w:tcW w:w="2268"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10</w:t>
            </w:r>
          </w:p>
        </w:tc>
        <w:tc>
          <w:tcPr>
            <w:tcW w:w="992"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5</w:t>
            </w:r>
          </w:p>
        </w:tc>
        <w:tc>
          <w:tcPr>
            <w:tcW w:w="901"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rPr>
                <w:rFonts w:ascii="Times New Roman" w:hAnsi="Times New Roman" w:eastAsia="仿宋" w:cs="Times New Roman"/>
                <w:sz w:val="32"/>
                <w:szCs w:val="32"/>
              </w:rPr>
            </w:pPr>
          </w:p>
        </w:tc>
        <w:tc>
          <w:tcPr>
            <w:tcW w:w="3402"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Ranking first place/First prize </w:t>
            </w:r>
          </w:p>
        </w:tc>
        <w:tc>
          <w:tcPr>
            <w:tcW w:w="2268"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15</w:t>
            </w:r>
          </w:p>
        </w:tc>
        <w:tc>
          <w:tcPr>
            <w:tcW w:w="992"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10</w:t>
            </w:r>
          </w:p>
        </w:tc>
        <w:tc>
          <w:tcPr>
            <w:tcW w:w="901"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rPr>
                <w:rFonts w:ascii="Times New Roman" w:hAnsi="Times New Roman" w:eastAsia="仿宋" w:cs="Times New Roman"/>
                <w:sz w:val="32"/>
                <w:szCs w:val="32"/>
              </w:rPr>
            </w:pPr>
          </w:p>
        </w:tc>
        <w:tc>
          <w:tcPr>
            <w:tcW w:w="3402" w:type="dxa"/>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Participating in social activities such as cultural exchange experience or the cultural and sports activities organized by the corresponding school cultivating them </w:t>
            </w:r>
          </w:p>
        </w:tc>
        <w:tc>
          <w:tcPr>
            <w:tcW w:w="4161" w:type="dxa"/>
            <w:gridSpan w:val="3"/>
            <w:vAlign w:val="center"/>
          </w:tcPr>
          <w:p>
            <w:pPr>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1 point for one activity </w:t>
            </w:r>
          </w:p>
        </w:tc>
      </w:tr>
    </w:tbl>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If the international students have participated in competitions (activities) of the same type, bonus points will be considered based on their best achievements in such competitions (activities). If the international students have participated in multiple competitions (</w:t>
      </w:r>
      <w:r>
        <w:rPr>
          <w:rFonts w:hint="eastAsia" w:ascii="Times New Roman" w:hAnsi="Times New Roman" w:eastAsia="仿宋" w:cs="Times New Roman"/>
          <w:sz w:val="32"/>
          <w:szCs w:val="32"/>
        </w:rPr>
        <w:t>activities</w:t>
      </w:r>
      <w:r>
        <w:rPr>
          <w:rFonts w:ascii="Times New Roman" w:hAnsi="Times New Roman" w:eastAsia="仿宋" w:cs="Times New Roman"/>
          <w:sz w:val="32"/>
          <w:szCs w:val="32"/>
        </w:rPr>
        <w:t>), bonus points will be considered according to the level of the competitions (</w:t>
      </w:r>
      <w:r>
        <w:rPr>
          <w:rFonts w:hint="eastAsia" w:ascii="Times New Roman" w:hAnsi="Times New Roman" w:eastAsia="仿宋" w:cs="Times New Roman"/>
          <w:sz w:val="32"/>
          <w:szCs w:val="32"/>
        </w:rPr>
        <w:t>activities</w:t>
      </w:r>
      <w:r>
        <w:rPr>
          <w:rFonts w:ascii="Times New Roman" w:hAnsi="Times New Roman" w:eastAsia="仿宋" w:cs="Times New Roman"/>
          <w:sz w:val="32"/>
          <w:szCs w:val="32"/>
        </w:rPr>
        <w:t xml:space="preserve">) or the highest prize or rankings they obtained, and no accumulation of bonus points will be considered.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(III) Those who are in charge of various groups, competitions/activities and student organizations at all levels and have excellent organizational and coordination skills and play an exemplary and leading role will receive bonus points according to the following rules: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1. An additional 10 points will be awarded to those who have completed a one-year term as an assistant international student counselor, have no disciplinary infractions, and have failed no exams.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2. An additional 10 points will be awarded for being the head of a ZUEL-level association or student organization, and an additional 5 points for other team members in charge. additional 5 points for being the head of faculty-level associations and student organizations for sports, arts and other cultural activities, and 2.5 points for other team members in charge.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3. Students who are in charge of large-scale activities and special work, who play an organizational and coordination role and take the lead in various work and activities, and who receive praise and recognition, will be awarded an additional 5-15 points, as appropriate. </w:t>
      </w:r>
    </w:p>
    <w:p>
      <w:pPr>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Article 11 </w:t>
      </w:r>
      <w:r>
        <w:rPr>
          <w:rFonts w:ascii="Times New Roman" w:hAnsi="Times New Roman" w:eastAsia="仿宋" w:cs="Times New Roman"/>
          <w:bCs/>
          <w:sz w:val="32"/>
          <w:szCs w:val="32"/>
        </w:rPr>
        <w:t>Evaluation results</w:t>
      </w:r>
      <w:r>
        <w:rPr>
          <w:rFonts w:ascii="Times New Roman" w:hAnsi="Times New Roman" w:eastAsia="仿宋" w:cs="Times New Roman"/>
          <w:b/>
          <w:sz w:val="32"/>
          <w:szCs w:val="32"/>
        </w:rPr>
        <w:t xml:space="preserve">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(I) ZUEL will have a quantitative evaluation of the annual comprehensive performance of the applicants for government scholarship and ZUEL-level scholarship and make an evaluation opinion of "excellent", "good", "qualified" or "unqualified" according to the evaluation score. ZUEL will put forward the suggestions on whether to continue providing or suspend or cancel the government scholarship for the international students and report the suggestions to the China Scholarship Council for approval. For ZUEL-level scholarship, the ZUEL will determine whether the app</w:t>
      </w:r>
      <w:r>
        <w:rPr>
          <w:rFonts w:hint="eastAsia" w:ascii="Times New Roman" w:hAnsi="Times New Roman" w:eastAsia="仿宋" w:cs="Times New Roman"/>
          <w:sz w:val="32"/>
          <w:szCs w:val="32"/>
        </w:rPr>
        <w:t>l</w:t>
      </w:r>
      <w:r>
        <w:rPr>
          <w:rFonts w:ascii="Times New Roman" w:hAnsi="Times New Roman" w:eastAsia="仿宋" w:cs="Times New Roman"/>
          <w:sz w:val="32"/>
          <w:szCs w:val="32"/>
        </w:rPr>
        <w:t xml:space="preserve">icants are eligible to receive the scholarship and the corresponding amount according to the evaluation opinions and scoring.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(II) For government scholarship-funded students evaluated as "qualified", ZUEL will propose to continue to provide the scholarship to them. For those evaluated as "unqualified", ZUEL will propose to suspend providing the scholarship to them for one year.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(III) The applicants for ZUEL-level scholarship evaluated as "excellent" will be offered Class-A scholarship. The applicants for ZUEL-level scholarship evaluated as "good" will be offered Class-B scholarship. The applicants for ZUEL-level scholarship evaluated as "qualified" will be offered Class-C or Class-D scholarship according to the specific conditions. The applicants for ZUEL-level scholarship evaluated as "unqualified" will receive the scholarship no longer.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(IV) The scholarship will be suspended from the beginning of the next academic year for those who are disqualified from receiving the scholarship. Students whose scholarships have been suspended may apply in writing before the expiration of the suspension period to participate in the annual evaluation of the current year, and if they pass the evaluation, they may resume their scholarships from the next academic year after approval by the higher authorities.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(V) The continued eligibility for scholarships (including government scholarship and ZUEL-level scholarships) will be canceled if any of the following apply.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1. Receiving disciplinary action of being ordered to withdraw from school or being expelled from school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2. Having failed the annual evaluation twice in total while studying at the university;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3. Refusing to participate in the annual assessment without justifiable reasons.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Those who are disqualified from receiving the scholarship shall have their scholarship suspended from the date of announcement and their eligibility for the scholarship shall not be reinstated. </w:t>
      </w:r>
    </w:p>
    <w:p>
      <w:pPr>
        <w:ind w:firstLine="643" w:firstLineChars="200"/>
        <w:rPr>
          <w:rFonts w:ascii="Times New Roman" w:hAnsi="Times New Roman" w:eastAsia="仿宋" w:cs="Times New Roman"/>
          <w:bCs/>
          <w:sz w:val="32"/>
          <w:szCs w:val="32"/>
        </w:rPr>
      </w:pPr>
      <w:r>
        <w:rPr>
          <w:rFonts w:ascii="Times New Roman" w:hAnsi="Times New Roman" w:eastAsia="仿宋" w:cs="Times New Roman"/>
          <w:b/>
          <w:sz w:val="32"/>
          <w:szCs w:val="32"/>
        </w:rPr>
        <w:t xml:space="preserve">Article 12 </w:t>
      </w:r>
      <w:r>
        <w:rPr>
          <w:rFonts w:ascii="Times New Roman" w:hAnsi="Times New Roman" w:eastAsia="仿宋" w:cs="Times New Roman"/>
          <w:bCs/>
          <w:sz w:val="32"/>
          <w:szCs w:val="32"/>
        </w:rPr>
        <w:t xml:space="preserve">Evaluation procedures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 Application by the applicants The scholarship-funded students participating in the annual evaluation must obtain the Student Self-Assessment Form from the International Education School according to the prescribed time and requirements, fill in the form according to the requirements and submit it to the International Education School by the specified deadline.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(II) Evaluation by the school cultivating them. The International Education School will summarize and classify the evaluation forms and submit them to various schools cultivating international students. The corresponding schools cultivating international students will have quantitative evaluation of the international students' academic performance and study/research attitude according to the actual situation of the government scholarship-funded students and ZUEL scholarship-funded students. The results will be signed by the responsible director of the corresponding schools who are a member of the university's steering committee for education in China, stamped with the official seal of the schools, and submitted to the International Education School.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(III) Evaluation by the International Education School. The International Education School will have quantitative scoring of the moral character and activity performance of the government scholarship-funded students and ZUEL scholarship-funded students according to the actual conditions, then summarize the quantitative scoring results and have comprehensive evaluation, put forward the evaluation opinions of "excellent", "good", "qualified" or "unqualified" and the corresponding suggestions.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(IV) Announcement of the evaluation results. The evaluation results will be announced on campus of ZUEL and the announcement period is three working days.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(V) Reporting of the evaluation results. After expiration of the announcement period, the International Education School will report the evaluation results and evaluation report to the relevant superior competent authority within the specified time limit. </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(VI) Execution of the evaluation results. As the specific department executing the evaluation results, the International Education School will be responsible for delivering the final evaluation results of government scholarship and ZUEL-level scholarship. </w:t>
      </w:r>
    </w:p>
    <w:p>
      <w:pPr>
        <w:ind w:firstLine="643" w:firstLineChars="200"/>
        <w:rPr>
          <w:rFonts w:ascii="Times New Roman" w:hAnsi="Times New Roman" w:eastAsia="仿宋" w:cs="Times New Roman"/>
          <w:bCs/>
          <w:sz w:val="32"/>
          <w:szCs w:val="32"/>
        </w:rPr>
      </w:pPr>
      <w:r>
        <w:rPr>
          <w:rFonts w:ascii="Times New Roman" w:hAnsi="Times New Roman" w:eastAsia="仿宋" w:cs="Times New Roman"/>
          <w:b/>
          <w:sz w:val="32"/>
          <w:szCs w:val="32"/>
        </w:rPr>
        <w:t xml:space="preserve">Article 13 </w:t>
      </w:r>
      <w:r>
        <w:rPr>
          <w:rFonts w:ascii="Times New Roman" w:hAnsi="Times New Roman" w:eastAsia="仿宋" w:cs="Times New Roman"/>
          <w:bCs/>
          <w:sz w:val="32"/>
          <w:szCs w:val="32"/>
        </w:rPr>
        <w:t xml:space="preserve">These measures shall be applicable to the annual evaluation of various scholarship for international students of ZUEL. </w:t>
      </w:r>
    </w:p>
    <w:p>
      <w:pPr>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 xml:space="preserve">Article 14 </w:t>
      </w:r>
      <w:r>
        <w:rPr>
          <w:rFonts w:ascii="Times New Roman" w:hAnsi="Times New Roman" w:eastAsia="仿宋" w:cs="Times New Roman"/>
          <w:sz w:val="32"/>
          <w:szCs w:val="32"/>
        </w:rPr>
        <w:t xml:space="preserve">The Chinese version of these measures shall prevail and the final interpretation right shall be vested in the International Education School. </w:t>
      </w:r>
    </w:p>
    <w:p>
      <w:pPr>
        <w:ind w:firstLine="643" w:firstLineChars="200"/>
        <w:rPr>
          <w:rFonts w:ascii="Times New Roman" w:hAnsi="Times New Roman" w:eastAsia="仿宋" w:cs="Times New Roman"/>
          <w:bCs/>
          <w:sz w:val="32"/>
          <w:szCs w:val="32"/>
        </w:rPr>
      </w:pPr>
      <w:r>
        <w:rPr>
          <w:rFonts w:ascii="Times New Roman" w:hAnsi="Times New Roman" w:eastAsia="仿宋" w:cs="Times New Roman"/>
          <w:b/>
          <w:sz w:val="32"/>
          <w:szCs w:val="32"/>
        </w:rPr>
        <w:t xml:space="preserve">Article 15 </w:t>
      </w:r>
      <w:r>
        <w:rPr>
          <w:rFonts w:ascii="Times New Roman" w:hAnsi="Times New Roman" w:eastAsia="仿宋" w:cs="Times New Roman"/>
          <w:bCs/>
          <w:sz w:val="32"/>
          <w:szCs w:val="32"/>
        </w:rPr>
        <w:t xml:space="preserve">These measures shall be implemented as of the date of promulgation. </w:t>
      </w:r>
    </w:p>
    <w:p>
      <w:pPr>
        <w:rPr>
          <w:rFonts w:ascii="Times New Roman" w:hAnsi="Times New Roman" w:eastAsia="仿宋" w:cs="Times New Roman"/>
          <w:sz w:val="32"/>
          <w:szCs w:val="32"/>
        </w:rPr>
      </w:pPr>
    </w:p>
    <w:p>
      <w:pPr>
        <w:wordWrap w:val="0"/>
        <w:jc w:val="right"/>
        <w:rPr>
          <w:rFonts w:ascii="Times New Roman" w:hAnsi="Times New Roman" w:eastAsia="仿宋" w:cs="Times New Roman"/>
          <w:sz w:val="32"/>
          <w:szCs w:val="32"/>
        </w:rPr>
      </w:pPr>
      <w:r>
        <w:rPr>
          <w:rFonts w:ascii="Times New Roman" w:hAnsi="Times New Roman" w:eastAsia="仿宋" w:cs="Times New Roman"/>
          <w:sz w:val="32"/>
          <w:szCs w:val="32"/>
        </w:rPr>
        <w:t>International Education School</w:t>
      </w:r>
    </w:p>
    <w:p>
      <w:pPr>
        <w:jc w:val="right"/>
        <w:rPr>
          <w:rFonts w:ascii="Times New Roman" w:hAnsi="Times New Roman" w:eastAsia="微软雅黑" w:cs="Times New Roman"/>
          <w:color w:val="343536"/>
          <w:kern w:val="0"/>
          <w:sz w:val="28"/>
          <w:szCs w:val="28"/>
          <w:shd w:val="clear" w:color="auto" w:fill="FFFFFF"/>
        </w:rPr>
      </w:pPr>
      <w:r>
        <w:rPr>
          <w:rFonts w:ascii="Times New Roman" w:hAnsi="Times New Roman" w:eastAsia="仿宋" w:cs="Times New Roman"/>
          <w:sz w:val="32"/>
          <w:szCs w:val="32"/>
        </w:rPr>
        <w:t>February 28, 2022</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lOTBhODIwOWZjNDVmNTc2YmQ5MGUzNzg4ZDU3YjkifQ=="/>
  </w:docVars>
  <w:rsids>
    <w:rsidRoot w:val="5C4F2432"/>
    <w:rsid w:val="0003268C"/>
    <w:rsid w:val="0006623C"/>
    <w:rsid w:val="00076399"/>
    <w:rsid w:val="000F09C7"/>
    <w:rsid w:val="000F3B77"/>
    <w:rsid w:val="00142985"/>
    <w:rsid w:val="00187A4B"/>
    <w:rsid w:val="0019201D"/>
    <w:rsid w:val="00194492"/>
    <w:rsid w:val="001A6388"/>
    <w:rsid w:val="001B4AC7"/>
    <w:rsid w:val="001B68B1"/>
    <w:rsid w:val="001E5B8E"/>
    <w:rsid w:val="00216E35"/>
    <w:rsid w:val="002307B8"/>
    <w:rsid w:val="002460C0"/>
    <w:rsid w:val="00303B05"/>
    <w:rsid w:val="00316B7F"/>
    <w:rsid w:val="00327B67"/>
    <w:rsid w:val="00342F58"/>
    <w:rsid w:val="00347168"/>
    <w:rsid w:val="00355AA6"/>
    <w:rsid w:val="003701EE"/>
    <w:rsid w:val="00387F99"/>
    <w:rsid w:val="0039173D"/>
    <w:rsid w:val="005A61BE"/>
    <w:rsid w:val="005B7BF2"/>
    <w:rsid w:val="005D1A12"/>
    <w:rsid w:val="00607C02"/>
    <w:rsid w:val="00624EB7"/>
    <w:rsid w:val="00630C2E"/>
    <w:rsid w:val="006A038D"/>
    <w:rsid w:val="006C12DB"/>
    <w:rsid w:val="006D06D4"/>
    <w:rsid w:val="00711180"/>
    <w:rsid w:val="00711950"/>
    <w:rsid w:val="00721434"/>
    <w:rsid w:val="007248C7"/>
    <w:rsid w:val="007452AB"/>
    <w:rsid w:val="00810C85"/>
    <w:rsid w:val="008D1C59"/>
    <w:rsid w:val="008D32A6"/>
    <w:rsid w:val="008D46EE"/>
    <w:rsid w:val="008F3ABB"/>
    <w:rsid w:val="00915107"/>
    <w:rsid w:val="00956DEF"/>
    <w:rsid w:val="00972AD1"/>
    <w:rsid w:val="009D72F0"/>
    <w:rsid w:val="009E6369"/>
    <w:rsid w:val="009F29E6"/>
    <w:rsid w:val="00A06701"/>
    <w:rsid w:val="00A53205"/>
    <w:rsid w:val="00A91E47"/>
    <w:rsid w:val="00AB2D80"/>
    <w:rsid w:val="00AF5487"/>
    <w:rsid w:val="00B32D04"/>
    <w:rsid w:val="00B51544"/>
    <w:rsid w:val="00B577C4"/>
    <w:rsid w:val="00B65887"/>
    <w:rsid w:val="00B7329B"/>
    <w:rsid w:val="00B76175"/>
    <w:rsid w:val="00B80977"/>
    <w:rsid w:val="00BC139A"/>
    <w:rsid w:val="00BD57ED"/>
    <w:rsid w:val="00BE60B3"/>
    <w:rsid w:val="00BF0CBF"/>
    <w:rsid w:val="00C357CF"/>
    <w:rsid w:val="00C94CF6"/>
    <w:rsid w:val="00CA1DFD"/>
    <w:rsid w:val="00CC6FCA"/>
    <w:rsid w:val="00CF0635"/>
    <w:rsid w:val="00D01A34"/>
    <w:rsid w:val="00D23AB7"/>
    <w:rsid w:val="00D87957"/>
    <w:rsid w:val="00DA7C0E"/>
    <w:rsid w:val="00DB6A97"/>
    <w:rsid w:val="00DF149F"/>
    <w:rsid w:val="00DF589A"/>
    <w:rsid w:val="00E21A17"/>
    <w:rsid w:val="00E65114"/>
    <w:rsid w:val="00E94007"/>
    <w:rsid w:val="00EF4AE2"/>
    <w:rsid w:val="00F106DB"/>
    <w:rsid w:val="00F2604A"/>
    <w:rsid w:val="00F30B6C"/>
    <w:rsid w:val="00F319D6"/>
    <w:rsid w:val="00F36A71"/>
    <w:rsid w:val="00F43BBD"/>
    <w:rsid w:val="00F4620C"/>
    <w:rsid w:val="00F467F7"/>
    <w:rsid w:val="00F60638"/>
    <w:rsid w:val="00F70AEE"/>
    <w:rsid w:val="00F97C30"/>
    <w:rsid w:val="00F97F6A"/>
    <w:rsid w:val="00FA6038"/>
    <w:rsid w:val="00FB234F"/>
    <w:rsid w:val="00FC3A73"/>
    <w:rsid w:val="00FF547E"/>
    <w:rsid w:val="03FE1FEF"/>
    <w:rsid w:val="06952DFD"/>
    <w:rsid w:val="12ED74D8"/>
    <w:rsid w:val="1B4E22DD"/>
    <w:rsid w:val="1BDE6BC3"/>
    <w:rsid w:val="1F90436B"/>
    <w:rsid w:val="2D333FB2"/>
    <w:rsid w:val="31733A08"/>
    <w:rsid w:val="33E3378E"/>
    <w:rsid w:val="345267AD"/>
    <w:rsid w:val="3A416380"/>
    <w:rsid w:val="48530F89"/>
    <w:rsid w:val="4BFC708B"/>
    <w:rsid w:val="56C92D4A"/>
    <w:rsid w:val="5B391B11"/>
    <w:rsid w:val="5C4F2432"/>
    <w:rsid w:val="5DE9738A"/>
    <w:rsid w:val="5FDB5DDF"/>
    <w:rsid w:val="6A936906"/>
    <w:rsid w:val="6ADE6313"/>
    <w:rsid w:val="705147A0"/>
    <w:rsid w:val="72C92A5B"/>
    <w:rsid w:val="7B3A7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qFormat="1"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28"/>
    <w:qFormat/>
    <w:uiPriority w:val="0"/>
    <w:pPr>
      <w:tabs>
        <w:tab w:val="center" w:pos="4153"/>
        <w:tab w:val="right" w:pos="8306"/>
      </w:tabs>
      <w:snapToGrid w:val="0"/>
      <w:jc w:val="left"/>
    </w:pPr>
    <w:rPr>
      <w:sz w:val="18"/>
      <w:szCs w:val="18"/>
    </w:rPr>
  </w:style>
  <w:style w:type="paragraph" w:styleId="3">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Emphasis"/>
    <w:basedOn w:val="7"/>
    <w:qFormat/>
    <w:uiPriority w:val="0"/>
    <w:rPr>
      <w:b/>
    </w:rPr>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000000"/>
      <w:u w:val="non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character" w:styleId="16">
    <w:name w:val="HTML Keyboard"/>
    <w:basedOn w:val="7"/>
    <w:qFormat/>
    <w:uiPriority w:val="0"/>
    <w:rPr>
      <w:rFonts w:ascii="Courier New" w:hAnsi="Courier New"/>
      <w:sz w:val="20"/>
    </w:rPr>
  </w:style>
  <w:style w:type="character" w:styleId="17">
    <w:name w:val="HTML Sample"/>
    <w:basedOn w:val="7"/>
    <w:qFormat/>
    <w:uiPriority w:val="0"/>
    <w:rPr>
      <w:rFonts w:ascii="Courier New" w:hAnsi="Courier New"/>
    </w:rPr>
  </w:style>
  <w:style w:type="character" w:customStyle="1" w:styleId="18">
    <w:name w:val="news_title12"/>
    <w:basedOn w:val="7"/>
    <w:qFormat/>
    <w:uiPriority w:val="0"/>
  </w:style>
  <w:style w:type="character" w:customStyle="1" w:styleId="19">
    <w:name w:val="news_title13"/>
    <w:basedOn w:val="7"/>
    <w:qFormat/>
    <w:uiPriority w:val="0"/>
  </w:style>
  <w:style w:type="character" w:customStyle="1" w:styleId="20">
    <w:name w:val="item-name"/>
    <w:basedOn w:val="7"/>
    <w:qFormat/>
    <w:uiPriority w:val="0"/>
  </w:style>
  <w:style w:type="character" w:customStyle="1" w:styleId="21">
    <w:name w:val="item-name1"/>
    <w:basedOn w:val="7"/>
    <w:qFormat/>
    <w:uiPriority w:val="0"/>
  </w:style>
  <w:style w:type="character" w:customStyle="1" w:styleId="22">
    <w:name w:val="pubdate-month"/>
    <w:basedOn w:val="7"/>
    <w:qFormat/>
    <w:uiPriority w:val="0"/>
    <w:rPr>
      <w:color w:val="FFFFFF"/>
      <w:sz w:val="16"/>
      <w:szCs w:val="16"/>
      <w:shd w:val="clear" w:color="auto" w:fill="CC0000"/>
    </w:rPr>
  </w:style>
  <w:style w:type="character" w:customStyle="1" w:styleId="23">
    <w:name w:val="pubdate-day"/>
    <w:basedOn w:val="7"/>
    <w:qFormat/>
    <w:uiPriority w:val="0"/>
    <w:rPr>
      <w:shd w:val="clear" w:color="auto" w:fill="F2F2F2"/>
    </w:rPr>
  </w:style>
  <w:style w:type="character" w:customStyle="1" w:styleId="24">
    <w:name w:val="news_meta"/>
    <w:basedOn w:val="7"/>
    <w:qFormat/>
    <w:uiPriority w:val="0"/>
    <w:rPr>
      <w:color w:val="6B6B6B"/>
      <w:sz w:val="14"/>
      <w:szCs w:val="14"/>
    </w:rPr>
  </w:style>
  <w:style w:type="character" w:customStyle="1" w:styleId="25">
    <w:name w:val="news_meta1"/>
    <w:basedOn w:val="7"/>
    <w:qFormat/>
    <w:uiPriority w:val="0"/>
    <w:rPr>
      <w:vanish/>
    </w:rPr>
  </w:style>
  <w:style w:type="character" w:customStyle="1" w:styleId="26">
    <w:name w:val="column-name18"/>
    <w:basedOn w:val="7"/>
    <w:qFormat/>
    <w:uiPriority w:val="0"/>
    <w:rPr>
      <w:color w:val="0162AF"/>
    </w:rPr>
  </w:style>
  <w:style w:type="character" w:customStyle="1" w:styleId="27">
    <w:name w:val="页眉 字符"/>
    <w:basedOn w:val="7"/>
    <w:link w:val="3"/>
    <w:qFormat/>
    <w:uiPriority w:val="0"/>
    <w:rPr>
      <w:rFonts w:asciiTheme="minorHAnsi" w:hAnsiTheme="minorHAnsi" w:eastAsiaTheme="minorEastAsia" w:cstheme="minorBidi"/>
      <w:kern w:val="2"/>
      <w:sz w:val="18"/>
      <w:szCs w:val="18"/>
    </w:rPr>
  </w:style>
  <w:style w:type="character" w:customStyle="1" w:styleId="28">
    <w:name w:val="页脚 字符"/>
    <w:basedOn w:val="7"/>
    <w:link w:val="2"/>
    <w:qFormat/>
    <w:uiPriority w:val="0"/>
    <w:rPr>
      <w:rFonts w:asciiTheme="minorHAnsi" w:hAnsiTheme="minorHAnsi" w:eastAsiaTheme="minorEastAsia" w:cstheme="minorBidi"/>
      <w:kern w:val="2"/>
      <w:sz w:val="18"/>
      <w:szCs w:val="18"/>
    </w:rPr>
  </w:style>
  <w:style w:type="paragraph" w:styleId="2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2177</Words>
  <Characters>13007</Characters>
  <Lines>108</Lines>
  <Paragraphs>30</Paragraphs>
  <TotalTime>69</TotalTime>
  <ScaleCrop>false</ScaleCrop>
  <LinksUpToDate>false</LinksUpToDate>
  <CharactersWithSpaces>15147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2020-04-01T05:10:00Z</dcterms:created>
  <dc:creator>Mr. Wang君君</dc:creator>
  <cp:lastModifiedBy>C華飛</cp:lastModifiedBy>
  <dcterms:modified xsi:type="dcterms:W3CDTF">2023-04-21T06:18:41Z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56ADA242ABAC49DF91671383CB5E4644</vt:lpwstr>
  </property>
  <property fmtid="{D5CDD505-2E9C-101B-9397-08002B2CF9AE}" pid="3" name="KSOProductBuildVer">
    <vt:lpwstr>2052-11.1.0.14036</vt:lpwstr>
  </property>
</Properties>
</file>