
<file path=[Content_Types].xml><?xml version="1.0" encoding="utf-8"?>
<Types xmlns="http://schemas.openxmlformats.org/package/2006/content-types">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1687" w:firstLineChars="600"/>
        <w:jc w:val="left"/>
        <w:rPr>
          <w:rFonts w:hint="eastAsia" w:ascii="楷体" w:hAnsi="楷体" w:eastAsia="楷体" w:cs="楷体"/>
          <w:b/>
          <w:sz w:val="28"/>
          <w:szCs w:val="28"/>
        </w:rPr>
      </w:pPr>
      <w:r>
        <w:rPr>
          <w:rFonts w:ascii="等线 Light" w:hAnsi="等线 Light"/>
          <w:b/>
          <w:color w:val="000000"/>
          <w:sz w:val="28"/>
          <w:szCs w:val="28"/>
        </w:rPr>
        <w:drawing>
          <wp:anchor distT="0" distB="0" distL="114300" distR="114300" simplePos="0" relativeHeight="251659264" behindDoc="0" locked="0" layoutInCell="1" allowOverlap="1">
            <wp:simplePos x="0" y="0"/>
            <wp:positionH relativeFrom="column">
              <wp:posOffset>476885</wp:posOffset>
            </wp:positionH>
            <wp:positionV relativeFrom="paragraph">
              <wp:posOffset>-33655</wp:posOffset>
            </wp:positionV>
            <wp:extent cx="1126490" cy="1155700"/>
            <wp:effectExtent l="0" t="0" r="1270" b="254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126490" cy="1155700"/>
                    </a:xfrm>
                    <a:prstGeom prst="rect">
                      <a:avLst/>
                    </a:prstGeom>
                    <a:noFill/>
                    <a:ln>
                      <a:noFill/>
                    </a:ln>
                  </pic:spPr>
                </pic:pic>
              </a:graphicData>
            </a:graphic>
          </wp:anchor>
        </w:drawing>
      </w:r>
      <w:r>
        <w:rPr>
          <w:rFonts w:hint="eastAsia" w:ascii="楷体" w:hAnsi="楷体" w:eastAsia="楷体" w:cs="楷体"/>
          <w:b/>
          <w:sz w:val="28"/>
          <w:szCs w:val="28"/>
        </w:rPr>
        <w:t>中南财经政法大学课程教学大纲</w:t>
      </w:r>
    </w:p>
    <w:p>
      <w:pPr>
        <w:spacing w:line="240" w:lineRule="auto"/>
        <w:ind w:firstLine="2530" w:firstLineChars="900"/>
        <w:jc w:val="both"/>
        <w:rPr>
          <w:rFonts w:hint="eastAsia"/>
          <w:b/>
          <w:bCs/>
          <w:sz w:val="28"/>
          <w:szCs w:val="28"/>
          <w:lang w:val="en-US" w:eastAsia="zh-CN"/>
        </w:rPr>
      </w:pPr>
      <w:r>
        <w:rPr>
          <w:rFonts w:hint="eastAsia"/>
          <w:b/>
          <w:bCs/>
          <w:sz w:val="28"/>
          <w:szCs w:val="28"/>
        </w:rPr>
        <w:t>Course</w:t>
      </w:r>
      <w:r>
        <w:rPr>
          <w:rFonts w:hint="eastAsia"/>
          <w:b/>
          <w:bCs/>
          <w:sz w:val="28"/>
          <w:szCs w:val="28"/>
          <w:lang w:val="en-US" w:eastAsia="zh-CN"/>
        </w:rPr>
        <w:t xml:space="preserve"> </w:t>
      </w:r>
      <w:r>
        <w:rPr>
          <w:rFonts w:hint="eastAsia"/>
          <w:b/>
          <w:bCs/>
          <w:sz w:val="28"/>
          <w:szCs w:val="28"/>
        </w:rPr>
        <w:t>Syllabus</w:t>
      </w:r>
      <w:r>
        <w:rPr>
          <w:rFonts w:hint="eastAsia"/>
          <w:b/>
          <w:bCs/>
          <w:sz w:val="28"/>
          <w:szCs w:val="28"/>
          <w:lang w:val="en-US" w:eastAsia="zh-CN"/>
        </w:rPr>
        <w:t xml:space="preserve"> of</w:t>
      </w:r>
    </w:p>
    <w:p>
      <w:pPr>
        <w:spacing w:line="240" w:lineRule="auto"/>
        <w:ind w:firstLine="843" w:firstLineChars="300"/>
        <w:jc w:val="both"/>
        <w:rPr>
          <w:rFonts w:hint="eastAsia"/>
          <w:b/>
          <w:bCs/>
          <w:sz w:val="28"/>
          <w:szCs w:val="28"/>
          <w:lang w:val="en-US" w:eastAsia="zh-CN"/>
        </w:rPr>
      </w:pPr>
      <w:r>
        <w:rPr>
          <w:rFonts w:hint="eastAsia"/>
          <w:b/>
          <w:bCs/>
          <w:sz w:val="28"/>
          <w:szCs w:val="28"/>
          <w:lang w:val="en-US" w:eastAsia="zh-CN"/>
        </w:rPr>
        <w:t>Zhongnan</w:t>
      </w:r>
      <w:r>
        <w:rPr>
          <w:rFonts w:hint="eastAsia"/>
          <w:b/>
          <w:bCs/>
          <w:sz w:val="28"/>
          <w:szCs w:val="28"/>
        </w:rPr>
        <w:t xml:space="preserve"> University</w:t>
      </w:r>
      <w:r>
        <w:rPr>
          <w:rFonts w:hint="eastAsia"/>
          <w:b/>
          <w:bCs/>
          <w:sz w:val="28"/>
          <w:szCs w:val="28"/>
          <w:lang w:val="en-US" w:eastAsia="zh-CN"/>
        </w:rPr>
        <w:t xml:space="preserve"> of Economics and Law</w:t>
      </w:r>
    </w:p>
    <w:p>
      <w:pPr>
        <w:spacing w:line="240" w:lineRule="auto"/>
        <w:ind w:firstLine="843" w:firstLineChars="300"/>
        <w:jc w:val="both"/>
        <w:rPr>
          <w:rFonts w:hint="eastAsia"/>
          <w:b/>
          <w:bCs/>
          <w:sz w:val="28"/>
          <w:szCs w:val="28"/>
          <w:lang w:val="en-US" w:eastAsia="zh-CN"/>
        </w:rPr>
      </w:pPr>
      <w:bookmarkStart w:id="1" w:name="_GoBack"/>
      <w:bookmarkEnd w:id="1"/>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22"/>
        <w:gridCol w:w="3302"/>
        <w:gridCol w:w="1411"/>
        <w:gridCol w:w="3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3" w:type="dxa"/>
            <w:gridSpan w:val="5"/>
            <w:noWrap w:val="0"/>
            <w:vAlign w:val="center"/>
          </w:tcPr>
          <w:p>
            <w:pPr>
              <w:spacing w:line="240" w:lineRule="auto"/>
              <w:jc w:val="both"/>
              <w:rPr>
                <w:rFonts w:hint="eastAsia"/>
                <w:b w:val="0"/>
                <w:bCs/>
                <w:color w:val="000000"/>
                <w:kern w:val="0"/>
                <w:sz w:val="21"/>
                <w:szCs w:val="21"/>
                <w:lang w:val="en-US" w:eastAsia="zh-CN"/>
              </w:rPr>
            </w:pPr>
            <w:r>
              <w:rPr>
                <w:rFonts w:hint="eastAsia"/>
                <w:b/>
                <w:bCs w:val="0"/>
                <w:color w:val="000000"/>
                <w:kern w:val="0"/>
                <w:sz w:val="21"/>
                <w:szCs w:val="21"/>
                <w:lang w:val="en-US" w:eastAsia="zh-CN"/>
              </w:rPr>
              <w:t>Course Title:</w:t>
            </w:r>
            <w:r>
              <w:rPr>
                <w:rFonts w:hint="eastAsia" w:ascii="Times New Roman" w:hAnsi="Times New Roman" w:eastAsia="Times New Roman" w:cs="Times New Roman"/>
                <w:spacing w:val="-10"/>
                <w:szCs w:val="21"/>
              </w:rPr>
              <w:t>Patent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0" w:type="dxa"/>
            <w:noWrap w:val="0"/>
            <w:vAlign w:val="center"/>
          </w:tcPr>
          <w:p>
            <w:pPr>
              <w:spacing w:line="240" w:lineRule="auto"/>
              <w:jc w:val="left"/>
              <w:rPr>
                <w:rFonts w:hint="default"/>
                <w:b/>
                <w:bCs w:val="0"/>
                <w:color w:val="000000"/>
                <w:kern w:val="0"/>
                <w:sz w:val="21"/>
                <w:szCs w:val="21"/>
                <w:lang w:val="en-US" w:eastAsia="zh-CN"/>
              </w:rPr>
            </w:pPr>
            <w:r>
              <w:rPr>
                <w:rFonts w:hint="eastAsia"/>
                <w:b/>
                <w:bCs w:val="0"/>
                <w:color w:val="000000"/>
                <w:kern w:val="0"/>
                <w:sz w:val="21"/>
                <w:szCs w:val="21"/>
                <w:lang w:val="en-US" w:eastAsia="zh-CN"/>
              </w:rPr>
              <w:t>Course Code</w:t>
            </w:r>
          </w:p>
        </w:tc>
        <w:tc>
          <w:tcPr>
            <w:tcW w:w="3324" w:type="dxa"/>
            <w:gridSpan w:val="2"/>
            <w:noWrap w:val="0"/>
            <w:vAlign w:val="center"/>
          </w:tcPr>
          <w:p>
            <w:pPr>
              <w:spacing w:line="240" w:lineRule="auto"/>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eastAsia="Times New Roman" w:cs="Times New Roman"/>
                <w:color w:val="auto"/>
                <w:sz w:val="22"/>
              </w:rPr>
              <w:t>61063003</w:t>
            </w:r>
          </w:p>
        </w:tc>
        <w:tc>
          <w:tcPr>
            <w:tcW w:w="1411" w:type="dxa"/>
            <w:noWrap w:val="0"/>
            <w:vAlign w:val="center"/>
          </w:tcPr>
          <w:p>
            <w:pPr>
              <w:spacing w:line="240" w:lineRule="auto"/>
              <w:jc w:val="left"/>
              <w:rPr>
                <w:rFonts w:hint="default" w:ascii="Times New Roman" w:hAnsi="Times New Roman" w:cs="Times New Roman"/>
                <w:b/>
                <w:bCs w:val="0"/>
                <w:color w:val="auto"/>
                <w:kern w:val="0"/>
                <w:sz w:val="21"/>
                <w:szCs w:val="21"/>
                <w:lang w:val="en-US" w:eastAsia="zh-CN"/>
              </w:rPr>
            </w:pPr>
            <w:r>
              <w:rPr>
                <w:rFonts w:hint="default" w:ascii="Times New Roman" w:hAnsi="Times New Roman" w:cs="Times New Roman"/>
                <w:b/>
                <w:bCs w:val="0"/>
                <w:color w:val="auto"/>
                <w:kern w:val="0"/>
                <w:sz w:val="21"/>
                <w:szCs w:val="21"/>
                <w:lang w:val="en-US" w:eastAsia="zh-CN"/>
              </w:rPr>
              <w:t>Semester</w:t>
            </w:r>
          </w:p>
        </w:tc>
        <w:tc>
          <w:tcPr>
            <w:tcW w:w="3158" w:type="dxa"/>
            <w:noWrap w:val="0"/>
            <w:vAlign w:val="center"/>
          </w:tcPr>
          <w:p>
            <w:pPr>
              <w:spacing w:line="240" w:lineRule="auto"/>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eastAsia="Times New Roman" w:cs="Times New Roman"/>
                <w:color w:val="auto"/>
                <w:spacing w:val="-10"/>
                <w:szCs w:val="21"/>
              </w:rPr>
              <w:t>Semester [</w:t>
            </w:r>
            <w:r>
              <w:rPr>
                <w:rFonts w:hint="default" w:ascii="Times New Roman" w:hAnsi="Times New Roman" w:cs="Times New Roman"/>
                <w:color w:val="auto"/>
                <w:spacing w:val="-10"/>
                <w:szCs w:val="21"/>
                <w:lang w:val="en-US" w:eastAsia="zh-CN"/>
              </w:rPr>
              <w:t>1</w:t>
            </w:r>
            <w:r>
              <w:rPr>
                <w:rFonts w:hint="default" w:ascii="Times New Roman" w:hAnsi="Times New Roman" w:eastAsia="Times New Roman" w:cs="Times New Roman"/>
                <w:color w:val="auto"/>
                <w:spacing w:val="-1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0" w:type="dxa"/>
            <w:noWrap w:val="0"/>
            <w:vAlign w:val="center"/>
          </w:tcPr>
          <w:p>
            <w:pPr>
              <w:spacing w:line="240" w:lineRule="auto"/>
              <w:jc w:val="left"/>
              <w:rPr>
                <w:rFonts w:hint="eastAsia"/>
                <w:b/>
                <w:bCs w:val="0"/>
                <w:sz w:val="21"/>
                <w:szCs w:val="21"/>
                <w:vertAlign w:val="baseline"/>
                <w:lang w:val="en-US" w:eastAsia="zh-CN"/>
              </w:rPr>
            </w:pPr>
            <w:r>
              <w:rPr>
                <w:b/>
                <w:bCs w:val="0"/>
                <w:color w:val="000000"/>
                <w:kern w:val="0"/>
                <w:sz w:val="21"/>
                <w:szCs w:val="21"/>
              </w:rPr>
              <w:t xml:space="preserve">Teaching </w:t>
            </w:r>
            <w:r>
              <w:rPr>
                <w:rFonts w:hint="eastAsia"/>
                <w:b/>
                <w:bCs w:val="0"/>
                <w:color w:val="000000"/>
                <w:kern w:val="0"/>
                <w:sz w:val="21"/>
                <w:szCs w:val="21"/>
                <w:lang w:val="en-US" w:eastAsia="zh-CN"/>
              </w:rPr>
              <w:t>H</w:t>
            </w:r>
            <w:r>
              <w:rPr>
                <w:b/>
                <w:bCs w:val="0"/>
                <w:color w:val="000000"/>
                <w:kern w:val="0"/>
                <w:sz w:val="21"/>
                <w:szCs w:val="21"/>
              </w:rPr>
              <w:t>ours</w:t>
            </w:r>
          </w:p>
        </w:tc>
        <w:tc>
          <w:tcPr>
            <w:tcW w:w="3324" w:type="dxa"/>
            <w:gridSpan w:val="2"/>
            <w:noWrap w:val="0"/>
            <w:vAlign w:val="center"/>
          </w:tcPr>
          <w:p>
            <w:pPr>
              <w:spacing w:line="240" w:lineRule="auto"/>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eastAsia="Times New Roman" w:cs="Times New Roman"/>
                <w:color w:val="auto"/>
                <w:spacing w:val="-10"/>
                <w:szCs w:val="21"/>
                <w:lang w:val="en-US" w:eastAsia="zh-CN"/>
              </w:rPr>
              <w:t>32</w:t>
            </w:r>
          </w:p>
        </w:tc>
        <w:tc>
          <w:tcPr>
            <w:tcW w:w="1411" w:type="dxa"/>
            <w:noWrap w:val="0"/>
            <w:vAlign w:val="center"/>
          </w:tcPr>
          <w:p>
            <w:pPr>
              <w:spacing w:line="240" w:lineRule="auto"/>
              <w:jc w:val="left"/>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kern w:val="0"/>
                <w:sz w:val="21"/>
                <w:szCs w:val="21"/>
              </w:rPr>
              <w:t>Credits</w:t>
            </w:r>
          </w:p>
        </w:tc>
        <w:tc>
          <w:tcPr>
            <w:tcW w:w="3158" w:type="dxa"/>
            <w:noWrap w:val="0"/>
            <w:vAlign w:val="center"/>
          </w:tcPr>
          <w:p>
            <w:pPr>
              <w:spacing w:line="240" w:lineRule="auto"/>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0" w:type="dxa"/>
            <w:noWrap w:val="0"/>
            <w:vAlign w:val="center"/>
          </w:tcPr>
          <w:p>
            <w:pPr>
              <w:spacing w:line="240" w:lineRule="auto"/>
              <w:jc w:val="left"/>
              <w:rPr>
                <w:rFonts w:hint="eastAsia"/>
                <w:b/>
                <w:bCs w:val="0"/>
                <w:sz w:val="21"/>
                <w:szCs w:val="21"/>
                <w:vertAlign w:val="baseline"/>
                <w:lang w:val="en-US" w:eastAsia="zh-CN"/>
              </w:rPr>
            </w:pPr>
            <w:r>
              <w:rPr>
                <w:rFonts w:hint="eastAsia"/>
                <w:b/>
                <w:bCs w:val="0"/>
                <w:color w:val="000000"/>
                <w:kern w:val="0"/>
                <w:sz w:val="21"/>
                <w:szCs w:val="21"/>
                <w:lang w:val="en-US" w:eastAsia="zh-CN"/>
              </w:rPr>
              <w:t>Prerequisites</w:t>
            </w:r>
          </w:p>
        </w:tc>
        <w:tc>
          <w:tcPr>
            <w:tcW w:w="7893" w:type="dxa"/>
            <w:gridSpan w:val="4"/>
            <w:noWrap w:val="0"/>
            <w:vAlign w:val="center"/>
          </w:tcPr>
          <w:p>
            <w:pPr>
              <w:spacing w:line="240" w:lineRule="auto"/>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3" w:type="dxa"/>
            <w:gridSpan w:val="5"/>
            <w:noWrap w:val="0"/>
            <w:vAlign w:val="center"/>
          </w:tcPr>
          <w:p>
            <w:pPr>
              <w:widowControl/>
              <w:spacing w:line="360" w:lineRule="auto"/>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eastAsia="宋体" w:cs="Times New Roman"/>
                <w:b/>
                <w:bCs w:val="0"/>
                <w:color w:val="auto"/>
                <w:kern w:val="0"/>
                <w:sz w:val="21"/>
                <w:szCs w:val="21"/>
                <w:lang w:val="en-US" w:eastAsia="zh-CN"/>
              </w:rPr>
              <w:t>Instructor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0" w:type="dxa"/>
            <w:noWrap w:val="0"/>
            <w:vAlign w:val="center"/>
          </w:tcPr>
          <w:p>
            <w:pPr>
              <w:spacing w:line="240" w:lineRule="auto"/>
              <w:jc w:val="left"/>
              <w:rPr>
                <w:rFonts w:hint="eastAsia"/>
                <w:b/>
                <w:bCs/>
                <w:sz w:val="21"/>
                <w:szCs w:val="21"/>
                <w:vertAlign w:val="baseline"/>
                <w:lang w:val="en-US" w:eastAsia="zh-CN"/>
              </w:rPr>
            </w:pPr>
            <w:r>
              <w:rPr>
                <w:rFonts w:hint="eastAsia"/>
                <w:b/>
                <w:bCs w:val="0"/>
                <w:color w:val="000000"/>
                <w:kern w:val="0"/>
                <w:sz w:val="21"/>
                <w:szCs w:val="21"/>
                <w:lang w:val="en-US" w:eastAsia="zh-CN"/>
              </w:rPr>
              <w:t>Name</w:t>
            </w:r>
          </w:p>
        </w:tc>
        <w:tc>
          <w:tcPr>
            <w:tcW w:w="3324" w:type="dxa"/>
            <w:gridSpan w:val="2"/>
            <w:noWrap w:val="0"/>
            <w:vAlign w:val="center"/>
          </w:tcPr>
          <w:p>
            <w:pPr>
              <w:spacing w:line="240" w:lineRule="auto"/>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eastAsia="等线" w:cs="Times New Roman"/>
                <w:color w:val="auto"/>
                <w:szCs w:val="21"/>
                <w:shd w:val="clear" w:color="auto" w:fill="FFFFFF"/>
              </w:rPr>
              <w:t>XIAO Peng</w:t>
            </w:r>
          </w:p>
        </w:tc>
        <w:tc>
          <w:tcPr>
            <w:tcW w:w="1411" w:type="dxa"/>
            <w:noWrap w:val="0"/>
            <w:vAlign w:val="center"/>
          </w:tcPr>
          <w:p>
            <w:pPr>
              <w:spacing w:line="240" w:lineRule="auto"/>
              <w:jc w:val="left"/>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val="0"/>
                <w:color w:val="auto"/>
                <w:kern w:val="0"/>
                <w:sz w:val="21"/>
                <w:szCs w:val="21"/>
                <w:lang w:val="en-US" w:eastAsia="zh-CN"/>
              </w:rPr>
              <w:t>Email</w:t>
            </w:r>
          </w:p>
        </w:tc>
        <w:tc>
          <w:tcPr>
            <w:tcW w:w="3158" w:type="dxa"/>
            <w:noWrap w:val="0"/>
            <w:vAlign w:val="center"/>
          </w:tcPr>
          <w:p>
            <w:pPr>
              <w:spacing w:line="240" w:lineRule="auto"/>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eastAsia="Times New Roman" w:cs="Times New Roman"/>
                <w:color w:val="auto"/>
                <w:szCs w:val="21"/>
                <w:shd w:val="clear" w:color="auto" w:fill="FFFFFF"/>
              </w:rPr>
              <w:t>xiaopeng@zuel.edu.cn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0" w:type="dxa"/>
            <w:noWrap w:val="0"/>
            <w:vAlign w:val="center"/>
          </w:tcPr>
          <w:p>
            <w:pPr>
              <w:spacing w:line="240" w:lineRule="auto"/>
              <w:jc w:val="left"/>
              <w:rPr>
                <w:rFonts w:hint="eastAsia"/>
                <w:b/>
                <w:bCs/>
                <w:sz w:val="21"/>
                <w:szCs w:val="21"/>
                <w:vertAlign w:val="baseline"/>
                <w:lang w:val="en-US" w:eastAsia="zh-CN"/>
              </w:rPr>
            </w:pPr>
            <w:r>
              <w:rPr>
                <w:rFonts w:hint="eastAsia"/>
                <w:b/>
                <w:bCs w:val="0"/>
                <w:color w:val="000000"/>
                <w:kern w:val="0"/>
                <w:sz w:val="21"/>
                <w:szCs w:val="21"/>
                <w:lang w:val="en-US" w:eastAsia="zh-CN"/>
              </w:rPr>
              <w:t>Institute</w:t>
            </w:r>
          </w:p>
        </w:tc>
        <w:tc>
          <w:tcPr>
            <w:tcW w:w="7893" w:type="dxa"/>
            <w:gridSpan w:val="4"/>
            <w:noWrap w:val="0"/>
            <w:vAlign w:val="center"/>
          </w:tcPr>
          <w:p>
            <w:pPr>
              <w:spacing w:line="240" w:lineRule="auto"/>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Law School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0" w:type="dxa"/>
            <w:noWrap w:val="0"/>
            <w:vAlign w:val="center"/>
          </w:tcPr>
          <w:p>
            <w:pPr>
              <w:spacing w:line="240" w:lineRule="auto"/>
              <w:jc w:val="left"/>
              <w:rPr>
                <w:rFonts w:hint="eastAsia"/>
                <w:b/>
                <w:bCs w:val="0"/>
                <w:sz w:val="21"/>
                <w:szCs w:val="21"/>
                <w:vertAlign w:val="baseline"/>
                <w:lang w:val="en-US" w:eastAsia="zh-CN"/>
              </w:rPr>
            </w:pPr>
            <w:r>
              <w:rPr>
                <w:b/>
                <w:bCs w:val="0"/>
                <w:color w:val="2B2B2B"/>
                <w:sz w:val="21"/>
                <w:szCs w:val="21"/>
              </w:rPr>
              <w:t xml:space="preserve">Applicable </w:t>
            </w:r>
            <w:r>
              <w:rPr>
                <w:rFonts w:hint="eastAsia"/>
                <w:b/>
                <w:bCs w:val="0"/>
                <w:color w:val="2B2B2B"/>
                <w:sz w:val="21"/>
                <w:szCs w:val="21"/>
                <w:lang w:val="en-US" w:eastAsia="zh-CN"/>
              </w:rPr>
              <w:t>O</w:t>
            </w:r>
            <w:r>
              <w:rPr>
                <w:b/>
                <w:bCs w:val="0"/>
                <w:color w:val="2B2B2B"/>
                <w:sz w:val="21"/>
                <w:szCs w:val="21"/>
              </w:rPr>
              <w:t>bject</w:t>
            </w:r>
          </w:p>
        </w:tc>
        <w:tc>
          <w:tcPr>
            <w:tcW w:w="7893" w:type="dxa"/>
            <w:gridSpan w:val="4"/>
            <w:noWrap w:val="0"/>
            <w:vAlign w:val="center"/>
          </w:tcPr>
          <w:p>
            <w:pPr>
              <w:spacing w:line="240" w:lineRule="auto"/>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val="0"/>
                <w:bCs/>
                <w:color w:val="auto"/>
                <w:kern w:val="0"/>
                <w:sz w:val="21"/>
                <w:szCs w:val="21"/>
              </w:rPr>
              <w:t>International Students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0" w:type="dxa"/>
            <w:noWrap w:val="0"/>
            <w:vAlign w:val="center"/>
          </w:tcPr>
          <w:p>
            <w:pPr>
              <w:spacing w:line="240" w:lineRule="auto"/>
              <w:jc w:val="left"/>
              <w:rPr>
                <w:rFonts w:hint="eastAsia"/>
                <w:b/>
                <w:bCs w:val="0"/>
                <w:sz w:val="21"/>
                <w:szCs w:val="21"/>
                <w:vertAlign w:val="baseline"/>
                <w:lang w:val="en-US" w:eastAsia="zh-CN"/>
              </w:rPr>
            </w:pPr>
            <w:r>
              <w:rPr>
                <w:rFonts w:hint="eastAsia"/>
                <w:b/>
                <w:bCs w:val="0"/>
                <w:color w:val="000000"/>
                <w:kern w:val="0"/>
                <w:sz w:val="21"/>
                <w:szCs w:val="21"/>
                <w:lang w:val="en-US" w:eastAsia="zh-CN"/>
              </w:rPr>
              <w:t>Course Objectives</w:t>
            </w:r>
          </w:p>
        </w:tc>
        <w:tc>
          <w:tcPr>
            <w:tcW w:w="7893" w:type="dxa"/>
            <w:gridSpan w:val="4"/>
            <w:noWrap w:val="0"/>
            <w:vAlign w:val="top"/>
          </w:tcPr>
          <w:p>
            <w:pPr>
              <w:spacing w:line="240" w:lineRule="auto"/>
              <w:jc w:val="both"/>
              <w:rPr>
                <w:rFonts w:hint="default" w:ascii="Times New Roman" w:hAnsi="Times New Roman" w:cs="Times New Roman"/>
                <w:b/>
                <w:bCs/>
                <w:color w:val="auto"/>
                <w:sz w:val="21"/>
                <w:szCs w:val="21"/>
                <w:vertAlign w:val="baseline"/>
                <w:lang w:val="en-US" w:eastAsia="zh-CN"/>
              </w:rPr>
            </w:pPr>
          </w:p>
          <w:p>
            <w:pPr>
              <w:spacing w:line="240" w:lineRule="auto"/>
              <w:jc w:val="both"/>
              <w:rPr>
                <w:rFonts w:hint="default" w:ascii="Times New Roman" w:hAnsi="Times New Roman" w:cs="Times New Roman"/>
                <w:b/>
                <w:bCs/>
                <w:color w:val="auto"/>
                <w:sz w:val="21"/>
                <w:szCs w:val="21"/>
                <w:vertAlign w:val="baseline"/>
                <w:lang w:val="en-US" w:eastAsia="zh-CN"/>
              </w:rPr>
            </w:pPr>
            <w:r>
              <w:rPr>
                <w:rFonts w:hint="default" w:ascii="Times New Roman" w:hAnsi="Times New Roman" w:eastAsia="Times New Roman" w:cs="Times New Roman"/>
                <w:color w:val="auto"/>
                <w:spacing w:val="-10"/>
                <w:szCs w:val="21"/>
              </w:rPr>
              <w:t>Through the study of the objects and subjects of patent protection, the conditions for patent grant, the determination and remedies of patent infringement, and the international framework of patent protection, students will be helped to compare and understand the patent legal systems of major countries; through the introduction of cutting-edge issues such as gene patents, pharmaceutical patents, and business method patents, students will develop the ability to think about academic issues; through the discussion and explanation of patent operation examples, students will be able to prepare for their future Through discussion and explanation of patent operation examples, students will be able to lay the foundation for their future work in patent agency, examination and trial, enterprise patent management and international patent affairs. The course requires students to master the basic legal knowledge of patents, be able to apply theoretical knowledge to analyse cutting-edge issues, and have the basic ability to acquire, maintain and manage the operation of patents.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0" w:type="dxa"/>
            <w:noWrap w:val="0"/>
            <w:vAlign w:val="center"/>
          </w:tcPr>
          <w:p>
            <w:pPr>
              <w:pStyle w:val="12"/>
              <w:spacing w:line="336" w:lineRule="auto"/>
              <w:jc w:val="left"/>
              <w:rPr>
                <w:rFonts w:ascii="Times New Roman" w:hAnsi="Times New Roman" w:cs="Times New Roman"/>
                <w:b/>
                <w:bCs w:val="0"/>
                <w:color w:val="000000"/>
                <w:sz w:val="21"/>
                <w:szCs w:val="21"/>
              </w:rPr>
            </w:pPr>
            <w:r>
              <w:rPr>
                <w:rFonts w:ascii="Times New Roman" w:hAnsi="Times New Roman" w:cs="Times New Roman"/>
                <w:b/>
                <w:bCs w:val="0"/>
                <w:color w:val="000000"/>
                <w:sz w:val="21"/>
                <w:szCs w:val="21"/>
              </w:rPr>
              <w:t>Course</w:t>
            </w:r>
            <w:r>
              <w:rPr>
                <w:rFonts w:hint="eastAsia" w:ascii="Times New Roman" w:hAnsi="Times New Roman" w:cs="Times New Roman"/>
                <w:b/>
                <w:bCs w:val="0"/>
                <w:color w:val="000000"/>
                <w:sz w:val="21"/>
                <w:szCs w:val="21"/>
                <w:lang w:val="en-US" w:eastAsia="zh-CN"/>
              </w:rPr>
              <w:t xml:space="preserve"> D</w:t>
            </w:r>
            <w:r>
              <w:rPr>
                <w:rFonts w:ascii="Times New Roman" w:hAnsi="Times New Roman" w:cs="Times New Roman"/>
                <w:b/>
                <w:bCs w:val="0"/>
                <w:color w:val="000000"/>
                <w:sz w:val="21"/>
                <w:szCs w:val="21"/>
              </w:rPr>
              <w:t>escription</w:t>
            </w:r>
          </w:p>
          <w:p>
            <w:pPr>
              <w:pStyle w:val="12"/>
              <w:spacing w:line="336" w:lineRule="auto"/>
              <w:jc w:val="left"/>
              <w:rPr>
                <w:rFonts w:hint="eastAsia"/>
                <w:b/>
                <w:bCs w:val="0"/>
                <w:color w:val="000000"/>
                <w:kern w:val="0"/>
                <w:sz w:val="21"/>
                <w:szCs w:val="21"/>
                <w:lang w:val="en-US" w:eastAsia="zh-CN"/>
              </w:rPr>
            </w:pPr>
            <w:r>
              <w:rPr>
                <w:rFonts w:hint="eastAsia" w:ascii="Times New Roman" w:hAnsi="Times New Roman" w:cs="Times New Roman"/>
                <w:b/>
                <w:bCs w:val="0"/>
                <w:color w:val="000000"/>
                <w:sz w:val="21"/>
                <w:szCs w:val="21"/>
                <w:lang w:val="en-US" w:eastAsia="zh-CN"/>
              </w:rPr>
              <w:t>(200 words)</w:t>
            </w:r>
          </w:p>
        </w:tc>
        <w:tc>
          <w:tcPr>
            <w:tcW w:w="7893" w:type="dxa"/>
            <w:gridSpan w:val="4"/>
            <w:noWrap w:val="0"/>
            <w:vAlign w:val="top"/>
          </w:tcPr>
          <w:p>
            <w:pPr>
              <w:spacing w:line="240" w:lineRule="auto"/>
              <w:jc w:val="both"/>
              <w:rPr>
                <w:rFonts w:hint="default" w:ascii="Times New Roman" w:hAnsi="Times New Roman" w:cs="Times New Roman"/>
                <w:b/>
                <w:bCs/>
                <w:color w:val="auto"/>
                <w:sz w:val="21"/>
                <w:szCs w:val="21"/>
                <w:vertAlign w:val="baseline"/>
                <w:lang w:val="en-US" w:eastAsia="zh-CN"/>
              </w:rPr>
            </w:pPr>
          </w:p>
          <w:p>
            <w:pPr>
              <w:spacing w:line="240" w:lineRule="auto"/>
              <w:jc w:val="both"/>
              <w:rPr>
                <w:rFonts w:hint="default" w:ascii="Times New Roman" w:hAnsi="Times New Roman" w:cs="Times New Roman"/>
                <w:b/>
                <w:bCs/>
                <w:color w:val="auto"/>
                <w:sz w:val="21"/>
                <w:szCs w:val="21"/>
                <w:vertAlign w:val="baseline"/>
                <w:lang w:val="en-US" w:eastAsia="zh-CN"/>
              </w:rPr>
            </w:pPr>
            <w:r>
              <w:rPr>
                <w:rFonts w:hint="default" w:ascii="Times New Roman" w:hAnsi="Times New Roman" w:eastAsia="Times New Roman" w:cs="Times New Roman"/>
                <w:color w:val="auto"/>
                <w:spacing w:val="-10"/>
                <w:szCs w:val="21"/>
              </w:rPr>
              <w:t>As an important type of intellectual property, patents are an important means of building wealth and enhancing the competitiveness of individuals, enterprises and countries in the knowledge-based economy. The immaterial nature of the object of a patent and its close association with technologies such as genetics, software and pharmaceuticals make patents more complex and abstract than other legal systems. It is essential to study patent law, especially the patent systems of countries with advanced legislation and practical experience. This course provides an introduction to the patent laws of major countries and regions such as the United States, the European Union and China from a comparative law perspective. The main contents of this course include: the object and subject matter of patent rights, substantive and procedural conditions for patent grant, the content and limitations of patent rights, patent infringement and remedies, etc. The course adopts a combination of lectures and discussions, focusing not only on systematic learning, but also highlighting the discussion of key and characteristic issues; focusing not only on students' mastery of basic concepts, systems and principles, but also on cultivating students' ability to apply what they have learned and analyse and solve practical problems.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0" w:type="dxa"/>
            <w:noWrap w:val="0"/>
            <w:vAlign w:val="center"/>
          </w:tcPr>
          <w:p>
            <w:pPr>
              <w:spacing w:line="240" w:lineRule="auto"/>
              <w:jc w:val="left"/>
              <w:rPr>
                <w:rFonts w:hint="eastAsia"/>
                <w:b/>
                <w:bCs w:val="0"/>
                <w:color w:val="000000"/>
                <w:kern w:val="0"/>
                <w:sz w:val="21"/>
                <w:szCs w:val="21"/>
                <w:lang w:val="en-US" w:eastAsia="zh-CN"/>
              </w:rPr>
            </w:pPr>
            <w:r>
              <w:rPr>
                <w:b/>
                <w:bCs w:val="0"/>
                <w:color w:val="000000"/>
                <w:sz w:val="21"/>
                <w:szCs w:val="21"/>
              </w:rPr>
              <w:t>Assess</w:t>
            </w:r>
            <w:r>
              <w:rPr>
                <w:rFonts w:hint="eastAsia"/>
                <w:b/>
                <w:bCs w:val="0"/>
                <w:color w:val="000000"/>
                <w:sz w:val="21"/>
                <w:szCs w:val="21"/>
                <w:lang w:val="en-US" w:eastAsia="zh-CN"/>
              </w:rPr>
              <w:t>m</w:t>
            </w:r>
            <w:r>
              <w:rPr>
                <w:b/>
                <w:bCs w:val="0"/>
                <w:color w:val="000000"/>
                <w:sz w:val="21"/>
                <w:szCs w:val="21"/>
              </w:rPr>
              <w:t xml:space="preserve">ent </w:t>
            </w:r>
            <w:r>
              <w:rPr>
                <w:rFonts w:hint="eastAsia"/>
                <w:b/>
                <w:bCs w:val="0"/>
                <w:color w:val="000000"/>
                <w:sz w:val="21"/>
                <w:szCs w:val="21"/>
                <w:lang w:val="en-US" w:eastAsia="zh-CN"/>
              </w:rPr>
              <w:t>M</w:t>
            </w:r>
            <w:r>
              <w:rPr>
                <w:b/>
                <w:bCs w:val="0"/>
                <w:color w:val="000000"/>
                <w:sz w:val="21"/>
                <w:szCs w:val="21"/>
              </w:rPr>
              <w:t>ethods</w:t>
            </w:r>
          </w:p>
        </w:tc>
        <w:tc>
          <w:tcPr>
            <w:tcW w:w="7893" w:type="dxa"/>
            <w:gridSpan w:val="4"/>
            <w:noWrap w:val="0"/>
            <w:vAlign w:val="top"/>
          </w:tcPr>
          <w:p>
            <w:pPr>
              <w:spacing w:line="240" w:lineRule="auto"/>
              <w:jc w:val="both"/>
              <w:rPr>
                <w:rFonts w:hint="default" w:ascii="Times New Roman" w:hAnsi="Times New Roman" w:cs="Times New Roman"/>
                <w:b/>
                <w:bCs/>
                <w:color w:val="auto"/>
                <w:sz w:val="21"/>
                <w:szCs w:val="21"/>
                <w:vertAlign w:val="baseline"/>
                <w:lang w:val="en-US" w:eastAsia="zh-CN"/>
              </w:rPr>
            </w:pPr>
          </w:p>
          <w:p>
            <w:pPr>
              <w:spacing w:line="240" w:lineRule="auto"/>
              <w:jc w:val="both"/>
              <w:rPr>
                <w:rFonts w:hint="default" w:ascii="Times New Roman" w:hAnsi="Times New Roman" w:cs="Times New Roman"/>
                <w:b/>
                <w:bCs/>
                <w:color w:val="auto"/>
                <w:sz w:val="21"/>
                <w:szCs w:val="21"/>
                <w:vertAlign w:val="baseline"/>
                <w:lang w:val="en-US" w:eastAsia="zh-CN"/>
              </w:rPr>
            </w:pPr>
            <w:r>
              <w:rPr>
                <w:rFonts w:hint="default" w:ascii="Times New Roman" w:hAnsi="Times New Roman" w:eastAsia="Times New Roman" w:cs="Times New Roman"/>
                <w:color w:val="auto"/>
                <w:spacing w:val="-10"/>
                <w:szCs w:val="21"/>
              </w:rPr>
              <w:t xml:space="preserve">Course Paper </w:t>
            </w:r>
          </w:p>
          <w:p>
            <w:pPr>
              <w:spacing w:line="240" w:lineRule="auto"/>
              <w:jc w:val="both"/>
              <w:rPr>
                <w:rFonts w:hint="default" w:ascii="Times New Roman" w:hAnsi="Times New Roman" w:cs="Times New Roman"/>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0" w:type="dxa"/>
            <w:noWrap w:val="0"/>
            <w:vAlign w:val="center"/>
          </w:tcPr>
          <w:p>
            <w:pPr>
              <w:spacing w:line="240" w:lineRule="auto"/>
              <w:jc w:val="left"/>
              <w:rPr>
                <w:rFonts w:hint="eastAsia"/>
                <w:b/>
                <w:bCs w:val="0"/>
                <w:color w:val="000000"/>
                <w:sz w:val="21"/>
                <w:szCs w:val="21"/>
                <w:lang w:val="en-US" w:eastAsia="zh-CN"/>
              </w:rPr>
            </w:pPr>
            <w:r>
              <w:rPr>
                <w:b/>
                <w:bCs w:val="0"/>
                <w:color w:val="000000"/>
                <w:kern w:val="0"/>
                <w:sz w:val="21"/>
                <w:szCs w:val="21"/>
              </w:rPr>
              <w:t>Textbook</w:t>
            </w:r>
            <w:r>
              <w:rPr>
                <w:rFonts w:hint="eastAsia"/>
                <w:b/>
                <w:bCs w:val="0"/>
                <w:color w:val="000000"/>
                <w:kern w:val="0"/>
                <w:sz w:val="21"/>
                <w:szCs w:val="21"/>
                <w:lang w:val="en-US" w:eastAsia="zh-CN"/>
              </w:rPr>
              <w:t>s and References</w:t>
            </w:r>
          </w:p>
        </w:tc>
        <w:tc>
          <w:tcPr>
            <w:tcW w:w="7893" w:type="dxa"/>
            <w:gridSpan w:val="4"/>
            <w:noWrap w:val="0"/>
            <w:vAlign w:val="top"/>
          </w:tcPr>
          <w:p>
            <w:pPr>
              <w:spacing w:line="240" w:lineRule="auto"/>
              <w:jc w:val="both"/>
              <w:rPr>
                <w:rFonts w:hint="default" w:ascii="Times New Roman" w:hAnsi="Times New Roman" w:cs="Times New Roman"/>
                <w:b/>
                <w:bCs/>
                <w:color w:val="auto"/>
                <w:sz w:val="21"/>
                <w:szCs w:val="21"/>
                <w:vertAlign w:val="baseline"/>
                <w:lang w:val="en-US" w:eastAsia="zh-CN"/>
              </w:rPr>
            </w:pPr>
          </w:p>
          <w:p>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color w:val="auto"/>
                <w:lang w:val="de-DE"/>
              </w:rPr>
            </w:pPr>
            <w:bookmarkStart w:id="0" w:name="OLE_LINK7"/>
            <w:r>
              <w:rPr>
                <w:rFonts w:hint="default" w:ascii="Times New Roman" w:hAnsi="Times New Roman" w:eastAsia="Times New Roman" w:cs="Times New Roman"/>
                <w:color w:val="auto"/>
                <w:lang w:val="de-DE"/>
              </w:rPr>
              <w:t xml:space="preserve">1. Stephen M. McJohn, Intellectual Property: Examples &amp; Explanations (6th ed. 2018) </w:t>
            </w:r>
          </w:p>
          <w:p>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color w:val="auto"/>
                <w:lang w:val="de-DE"/>
              </w:rPr>
            </w:pPr>
            <w:r>
              <w:rPr>
                <w:rFonts w:hint="default" w:ascii="Times New Roman" w:hAnsi="Times New Roman" w:eastAsia="Times New Roman" w:cs="Times New Roman"/>
                <w:color w:val="auto"/>
                <w:lang w:val="de-DE"/>
              </w:rPr>
              <w:t xml:space="preserve">2. Arthur R. Miller &amp; Michael H. Davis, Intellectual Property: Patents, Trademarks, and Copyright in a Nutshell (6th ed. 2018) </w:t>
            </w:r>
          </w:p>
          <w:p>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color w:val="auto"/>
                <w:lang w:val="de-DE"/>
              </w:rPr>
            </w:pPr>
            <w:r>
              <w:rPr>
                <w:rFonts w:hint="default" w:ascii="Times New Roman" w:hAnsi="Times New Roman" w:eastAsia="Times New Roman" w:cs="Times New Roman"/>
                <w:color w:val="auto"/>
                <w:lang w:val="de-DE"/>
              </w:rPr>
              <w:t xml:space="preserve">3. George W. Kuney &amp; Donna C. Looper, Mastering Intellectual Property (2012) </w:t>
            </w:r>
          </w:p>
          <w:p>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color w:val="auto"/>
                <w:lang w:val="de-DE"/>
              </w:rPr>
            </w:pPr>
            <w:r>
              <w:rPr>
                <w:rFonts w:hint="default" w:ascii="Times New Roman" w:hAnsi="Times New Roman" w:eastAsia="Times New Roman" w:cs="Times New Roman"/>
                <w:color w:val="auto"/>
                <w:lang w:val="de-DE"/>
              </w:rPr>
              <w:t xml:space="preserve">4. Janice M. Mueller, Patent Law (5th ed. 2016) </w:t>
            </w:r>
          </w:p>
          <w:p>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color w:val="auto"/>
                <w:lang w:val="de-DE"/>
              </w:rPr>
            </w:pPr>
            <w:r>
              <w:rPr>
                <w:rFonts w:hint="default" w:ascii="Times New Roman" w:hAnsi="Times New Roman" w:eastAsia="Times New Roman" w:cs="Times New Roman"/>
                <w:color w:val="auto"/>
                <w:lang w:val="de-DE"/>
              </w:rPr>
              <w:t>5. Randall Rader &amp; Benjamin Christoff</w:t>
            </w:r>
            <w:r>
              <w:rPr>
                <w:rFonts w:hint="default" w:ascii="Times New Roman" w:hAnsi="Times New Roman" w:eastAsia="宋体" w:cs="Times New Roman"/>
                <w:color w:val="auto"/>
                <w:lang w:val="de-DE"/>
              </w:rPr>
              <w:t xml:space="preserve">, </w:t>
            </w:r>
            <w:r>
              <w:rPr>
                <w:rFonts w:hint="default" w:ascii="Times New Roman" w:hAnsi="Times New Roman" w:eastAsia="Times New Roman" w:cs="Times New Roman"/>
                <w:color w:val="auto"/>
                <w:lang w:val="de-DE"/>
              </w:rPr>
              <w:t xml:space="preserve">Patent Law in a Nutshell (3rd. 2018) </w:t>
            </w:r>
          </w:p>
          <w:p>
            <w:pPr>
              <w:spacing w:line="240" w:lineRule="auto"/>
              <w:jc w:val="both"/>
              <w:rPr>
                <w:rFonts w:hint="default" w:ascii="Times New Roman" w:hAnsi="Times New Roman" w:cs="Times New Roman"/>
                <w:b/>
                <w:bCs/>
                <w:color w:val="auto"/>
                <w:sz w:val="21"/>
                <w:szCs w:val="21"/>
                <w:vertAlign w:val="baseline"/>
                <w:lang w:val="en-US" w:eastAsia="zh-CN"/>
              </w:rPr>
            </w:pPr>
            <w:r>
              <w:rPr>
                <w:rFonts w:hint="default" w:ascii="Times New Roman" w:hAnsi="Times New Roman" w:eastAsia="Times New Roman" w:cs="Times New Roman"/>
                <w:color w:val="auto"/>
                <w:lang w:val="de-DE"/>
              </w:rPr>
              <w:t xml:space="preserve">6. Amy L. Landers, Understanding Patent Law (3rd. 2017) </w:t>
            </w:r>
            <w:bookmarkEnd w:id="0"/>
          </w:p>
          <w:p>
            <w:pPr>
              <w:spacing w:line="240" w:lineRule="auto"/>
              <w:jc w:val="both"/>
              <w:rPr>
                <w:rFonts w:hint="default" w:ascii="Times New Roman" w:hAnsi="Times New Roman" w:cs="Times New Roman"/>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3" w:type="dxa"/>
            <w:gridSpan w:val="5"/>
            <w:noWrap w:val="0"/>
            <w:vAlign w:val="center"/>
          </w:tcPr>
          <w:p>
            <w:pPr>
              <w:spacing w:line="240" w:lineRule="auto"/>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eastAsia="宋体" w:cs="Times New Roman"/>
                <w:b/>
                <w:bCs w:val="0"/>
                <w:color w:val="auto"/>
                <w:sz w:val="21"/>
                <w:szCs w:val="21"/>
                <w:lang w:val="en-US" w:eastAsia="zh-CN"/>
              </w:rPr>
              <w:t>Course planning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2" w:type="dxa"/>
            <w:gridSpan w:val="2"/>
            <w:noWrap w:val="0"/>
            <w:vAlign w:val="center"/>
          </w:tcPr>
          <w:p>
            <w:pPr>
              <w:spacing w:line="240" w:lineRule="auto"/>
              <w:jc w:val="left"/>
              <w:rPr>
                <w:rFonts w:hint="default" w:ascii="Times New Roman" w:hAnsi="Times New Roman" w:eastAsia="宋体" w:cs="Times New Roman"/>
                <w:b/>
                <w:bCs w:val="0"/>
                <w:color w:val="auto"/>
                <w:kern w:val="0"/>
                <w:sz w:val="21"/>
                <w:szCs w:val="21"/>
                <w:lang w:val="en-US" w:eastAsia="zh-CN"/>
              </w:rPr>
            </w:pPr>
            <w:r>
              <w:rPr>
                <w:rFonts w:hint="default" w:ascii="Times New Roman" w:hAnsi="Times New Roman" w:eastAsia="宋体" w:cs="Times New Roman"/>
                <w:b/>
                <w:bCs w:val="0"/>
                <w:color w:val="auto"/>
                <w:kern w:val="0"/>
                <w:sz w:val="21"/>
                <w:szCs w:val="21"/>
              </w:rPr>
              <w:t>Chap</w:t>
            </w:r>
            <w:r>
              <w:rPr>
                <w:rFonts w:hint="default" w:ascii="Times New Roman" w:hAnsi="Times New Roman" w:eastAsia="宋体" w:cs="Times New Roman"/>
                <w:b/>
                <w:bCs w:val="0"/>
                <w:color w:val="auto"/>
                <w:kern w:val="0"/>
                <w:sz w:val="21"/>
                <w:szCs w:val="21"/>
                <w:lang w:val="en-US" w:eastAsia="zh-CN"/>
              </w:rPr>
              <w:t>t</w:t>
            </w:r>
            <w:r>
              <w:rPr>
                <w:rFonts w:hint="default" w:ascii="Times New Roman" w:hAnsi="Times New Roman" w:eastAsia="宋体" w:cs="Times New Roman"/>
                <w:b/>
                <w:bCs w:val="0"/>
                <w:color w:val="auto"/>
                <w:kern w:val="0"/>
                <w:sz w:val="21"/>
                <w:szCs w:val="21"/>
              </w:rPr>
              <w:t>er 1</w:t>
            </w:r>
          </w:p>
        </w:tc>
        <w:tc>
          <w:tcPr>
            <w:tcW w:w="7871" w:type="dxa"/>
            <w:gridSpan w:val="3"/>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lang w:val="de-DE"/>
              </w:rPr>
            </w:pPr>
            <w:r>
              <w:rPr>
                <w:rFonts w:hint="default" w:ascii="Times New Roman" w:hAnsi="Times New Roman" w:eastAsia="宋体" w:cs="Times New Roman"/>
                <w:color w:val="auto"/>
                <w:szCs w:val="21"/>
                <w:lang w:val="de-DE"/>
              </w:rPr>
              <w:t xml:space="preserve">I. Object of Patent Rights </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lang w:val="de-DE"/>
              </w:rPr>
            </w:pPr>
            <w:r>
              <w:rPr>
                <w:rFonts w:hint="default" w:ascii="Times New Roman" w:hAnsi="Times New Roman" w:eastAsia="宋体" w:cs="Times New Roman"/>
                <w:color w:val="auto"/>
                <w:szCs w:val="21"/>
                <w:lang w:val="de-DE"/>
              </w:rPr>
              <w:t>1. Inventions</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lang w:val="de-DE"/>
              </w:rPr>
            </w:pPr>
            <w:r>
              <w:rPr>
                <w:rFonts w:hint="default" w:ascii="Times New Roman" w:hAnsi="Times New Roman" w:eastAsia="Times New Roman" w:cs="Times New Roman"/>
                <w:color w:val="auto"/>
                <w:szCs w:val="21"/>
                <w:lang w:val="de-DE"/>
              </w:rPr>
              <w:t xml:space="preserve">2 </w:t>
            </w:r>
            <w:r>
              <w:rPr>
                <w:rFonts w:hint="default" w:ascii="Times New Roman" w:hAnsi="Times New Roman" w:eastAsia="宋体" w:cs="Times New Roman"/>
                <w:color w:val="auto"/>
                <w:szCs w:val="21"/>
                <w:lang w:val="de-DE"/>
              </w:rPr>
              <w:t>Utility models</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lang w:val="de-DE"/>
              </w:rPr>
            </w:pPr>
            <w:r>
              <w:rPr>
                <w:rFonts w:hint="default" w:ascii="Times New Roman" w:hAnsi="Times New Roman" w:eastAsia="宋体" w:cs="Times New Roman"/>
                <w:color w:val="auto"/>
                <w:szCs w:val="21"/>
                <w:lang w:val="de-DE"/>
              </w:rPr>
              <w:t>3. Design</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lang w:val="de-DE"/>
              </w:rPr>
            </w:pPr>
            <w:r>
              <w:rPr>
                <w:rFonts w:hint="default" w:ascii="Times New Roman" w:hAnsi="Times New Roman" w:eastAsia="Times New Roman" w:cs="Times New Roman"/>
                <w:color w:val="auto"/>
                <w:szCs w:val="21"/>
                <w:lang w:val="de-DE"/>
              </w:rPr>
              <w:t xml:space="preserve">4. </w:t>
            </w:r>
            <w:r>
              <w:rPr>
                <w:rFonts w:hint="default" w:ascii="Times New Roman" w:hAnsi="Times New Roman" w:eastAsia="宋体" w:cs="Times New Roman"/>
                <w:color w:val="auto"/>
                <w:szCs w:val="21"/>
                <w:lang w:val="de-DE"/>
              </w:rPr>
              <w:t>Non-patentable subjects</w:t>
            </w:r>
          </w:p>
          <w:p>
            <w:pPr>
              <w:keepNext w:val="0"/>
              <w:keepLines w:val="0"/>
              <w:suppressLineNumbers w:val="0"/>
              <w:spacing w:before="0" w:beforeAutospacing="0" w:after="0" w:afterAutospacing="0"/>
              <w:ind w:left="0" w:right="0"/>
              <w:rPr>
                <w:rFonts w:hint="default" w:ascii="Times New Roman" w:hAnsi="Times New Roman" w:eastAsia="宋体" w:cs="Times New Roman"/>
                <w:bCs/>
                <w:color w:val="auto"/>
                <w:szCs w:val="21"/>
                <w:lang w:val="de-DE"/>
              </w:rPr>
            </w:pPr>
            <w:r>
              <w:rPr>
                <w:rFonts w:hint="default" w:ascii="Times New Roman" w:hAnsi="Times New Roman" w:eastAsia="宋体" w:cs="Times New Roman"/>
                <w:color w:val="auto"/>
                <w:szCs w:val="21"/>
                <w:lang w:val="en-US" w:eastAsia="zh-CN"/>
              </w:rPr>
              <w:t>5.</w:t>
            </w:r>
            <w:r>
              <w:rPr>
                <w:rFonts w:hint="default" w:ascii="Times New Roman" w:hAnsi="Times New Roman" w:eastAsia="宋体" w:cs="Times New Roman"/>
                <w:bCs/>
                <w:color w:val="auto"/>
                <w:szCs w:val="21"/>
                <w:lang w:val="de-DE"/>
              </w:rPr>
              <w:t>Microorganisms, genetic material</w:t>
            </w:r>
          </w:p>
          <w:p>
            <w:pPr>
              <w:keepNext w:val="0"/>
              <w:keepLines w:val="0"/>
              <w:suppressLineNumbers w:val="0"/>
              <w:spacing w:before="0" w:beforeAutospacing="0" w:after="0" w:afterAutospacing="0"/>
              <w:ind w:left="0" w:right="0"/>
              <w:rPr>
                <w:rFonts w:hint="default" w:ascii="Times New Roman" w:hAnsi="Times New Roman" w:eastAsia="宋体" w:cs="Times New Roman"/>
                <w:bCs/>
                <w:color w:val="auto"/>
                <w:szCs w:val="21"/>
                <w:lang w:val="de-DE"/>
              </w:rPr>
            </w:pPr>
            <w:r>
              <w:rPr>
                <w:rFonts w:hint="default" w:ascii="Times New Roman" w:hAnsi="Times New Roman" w:eastAsia="宋体" w:cs="Times New Roman"/>
                <w:bCs/>
                <w:color w:val="auto"/>
                <w:szCs w:val="21"/>
                <w:lang w:val="en-US" w:eastAsia="zh-CN"/>
              </w:rPr>
              <w:t>6</w:t>
            </w:r>
            <w:r>
              <w:rPr>
                <w:rFonts w:hint="default" w:ascii="Times New Roman" w:hAnsi="Times New Roman" w:eastAsia="宋体" w:cs="Times New Roman"/>
                <w:bCs/>
                <w:color w:val="auto"/>
                <w:szCs w:val="21"/>
                <w:lang w:val="de-DE"/>
              </w:rPr>
              <w:t>. Computer software, business methods</w:t>
            </w:r>
          </w:p>
          <w:p>
            <w:pPr>
              <w:keepNext w:val="0"/>
              <w:keepLines w:val="0"/>
              <w:suppressLineNumbers w:val="0"/>
              <w:spacing w:before="0" w:beforeAutospacing="0" w:after="0" w:afterAutospacing="0"/>
              <w:ind w:left="0" w:leftChars="0" w:right="0" w:rightChars="0"/>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宋体" w:cs="Times New Roman"/>
                <w:bCs/>
                <w:color w:val="auto"/>
                <w:szCs w:val="21"/>
                <w:lang w:val="en-US" w:eastAsia="zh-CN"/>
              </w:rPr>
              <w:t>7</w:t>
            </w:r>
            <w:r>
              <w:rPr>
                <w:rFonts w:hint="default" w:ascii="Times New Roman" w:hAnsi="Times New Roman" w:eastAsia="宋体" w:cs="Times New Roman"/>
                <w:bCs/>
                <w:color w:val="auto"/>
                <w:szCs w:val="21"/>
                <w:lang w:val="de-DE"/>
              </w:rPr>
              <w:t>. Medicines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2" w:type="dxa"/>
            <w:gridSpan w:val="2"/>
            <w:noWrap w:val="0"/>
            <w:vAlign w:val="center"/>
          </w:tcPr>
          <w:p>
            <w:pPr>
              <w:spacing w:line="240" w:lineRule="auto"/>
              <w:jc w:val="left"/>
              <w:rPr>
                <w:rFonts w:hint="default" w:ascii="Times New Roman" w:hAnsi="Times New Roman" w:eastAsia="宋体" w:cs="Times New Roman"/>
                <w:b/>
                <w:bCs w:val="0"/>
                <w:color w:val="auto"/>
                <w:kern w:val="0"/>
                <w:sz w:val="21"/>
                <w:szCs w:val="21"/>
                <w:lang w:val="en-US" w:eastAsia="zh-CN"/>
              </w:rPr>
            </w:pPr>
            <w:r>
              <w:rPr>
                <w:rFonts w:hint="default" w:ascii="Times New Roman" w:hAnsi="Times New Roman" w:eastAsia="宋体" w:cs="Times New Roman"/>
                <w:b/>
                <w:bCs w:val="0"/>
                <w:color w:val="auto"/>
                <w:kern w:val="0"/>
                <w:sz w:val="21"/>
                <w:szCs w:val="21"/>
              </w:rPr>
              <w:t>Chap</w:t>
            </w:r>
            <w:r>
              <w:rPr>
                <w:rFonts w:hint="default" w:ascii="Times New Roman" w:hAnsi="Times New Roman" w:eastAsia="宋体" w:cs="Times New Roman"/>
                <w:b/>
                <w:bCs w:val="0"/>
                <w:color w:val="auto"/>
                <w:kern w:val="0"/>
                <w:sz w:val="21"/>
                <w:szCs w:val="21"/>
                <w:lang w:val="en-US" w:eastAsia="zh-CN"/>
              </w:rPr>
              <w:t>t</w:t>
            </w:r>
            <w:r>
              <w:rPr>
                <w:rFonts w:hint="default" w:ascii="Times New Roman" w:hAnsi="Times New Roman" w:eastAsia="宋体" w:cs="Times New Roman"/>
                <w:b/>
                <w:bCs w:val="0"/>
                <w:color w:val="auto"/>
                <w:kern w:val="0"/>
                <w:sz w:val="21"/>
                <w:szCs w:val="21"/>
              </w:rPr>
              <w:t xml:space="preserve">er 2 </w:t>
            </w:r>
          </w:p>
        </w:tc>
        <w:tc>
          <w:tcPr>
            <w:tcW w:w="7871" w:type="dxa"/>
            <w:gridSpan w:val="3"/>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lang w:val="en-US" w:eastAsia="zh-CN"/>
              </w:rPr>
              <w:t>II</w:t>
            </w:r>
            <w:r>
              <w:rPr>
                <w:rFonts w:hint="default" w:ascii="Times New Roman" w:hAnsi="Times New Roman" w:eastAsia="宋体" w:cs="Times New Roman"/>
                <w:bCs/>
                <w:color w:val="auto"/>
                <w:szCs w:val="21"/>
                <w:lang w:val="de-DE"/>
              </w:rPr>
              <w:t xml:space="preserve">. </w:t>
            </w:r>
            <w:r>
              <w:rPr>
                <w:rFonts w:hint="default" w:ascii="Times New Roman" w:hAnsi="Times New Roman" w:eastAsia="宋体" w:cs="Times New Roman"/>
                <w:bCs/>
                <w:color w:val="auto"/>
                <w:szCs w:val="21"/>
              </w:rPr>
              <w:t>Subject matter of patent rights</w:t>
            </w:r>
          </w:p>
          <w:p>
            <w:pPr>
              <w:keepNext w:val="0"/>
              <w:keepLines w:val="0"/>
              <w:suppressLineNumbers w:val="0"/>
              <w:spacing w:before="0" w:beforeAutospacing="0" w:after="0" w:afterAutospacing="0"/>
              <w:ind w:left="0" w:right="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 Inventor and creator</w:t>
            </w:r>
          </w:p>
          <w:p>
            <w:pPr>
              <w:keepNext w:val="0"/>
              <w:keepLines w:val="0"/>
              <w:suppressLineNumbers w:val="0"/>
              <w:spacing w:before="0" w:beforeAutospacing="0" w:after="0" w:afterAutospacing="0"/>
              <w:ind w:left="0" w:right="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2. Co-invention</w:t>
            </w:r>
          </w:p>
          <w:p>
            <w:pPr>
              <w:keepNext w:val="0"/>
              <w:keepLines w:val="0"/>
              <w:suppressLineNumbers w:val="0"/>
              <w:spacing w:before="0" w:beforeAutospacing="0" w:after="0" w:afterAutospacing="0"/>
              <w:ind w:left="0" w:leftChars="0" w:right="0" w:rightChars="0"/>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宋体" w:cs="Times New Roman"/>
                <w:bCs/>
                <w:color w:val="auto"/>
                <w:szCs w:val="21"/>
              </w:rPr>
              <w:t>3. Functional inventions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2" w:type="dxa"/>
            <w:gridSpan w:val="2"/>
            <w:noWrap w:val="0"/>
            <w:vAlign w:val="center"/>
          </w:tcPr>
          <w:p>
            <w:pPr>
              <w:spacing w:line="240" w:lineRule="auto"/>
              <w:jc w:val="left"/>
              <w:rPr>
                <w:rFonts w:hint="default" w:ascii="Times New Roman" w:hAnsi="Times New Roman" w:eastAsia="宋体" w:cs="Times New Roman"/>
                <w:b/>
                <w:bCs w:val="0"/>
                <w:color w:val="auto"/>
                <w:kern w:val="0"/>
                <w:sz w:val="21"/>
                <w:szCs w:val="21"/>
                <w:lang w:val="en-US" w:eastAsia="zh-CN"/>
              </w:rPr>
            </w:pPr>
            <w:r>
              <w:rPr>
                <w:rFonts w:hint="default" w:ascii="Times New Roman" w:hAnsi="Times New Roman" w:eastAsia="宋体" w:cs="Times New Roman"/>
                <w:b/>
                <w:bCs w:val="0"/>
                <w:color w:val="auto"/>
                <w:kern w:val="0"/>
                <w:sz w:val="21"/>
                <w:szCs w:val="21"/>
              </w:rPr>
              <w:t>Chap</w:t>
            </w:r>
            <w:r>
              <w:rPr>
                <w:rFonts w:hint="default" w:ascii="Times New Roman" w:hAnsi="Times New Roman" w:eastAsia="宋体" w:cs="Times New Roman"/>
                <w:b/>
                <w:bCs w:val="0"/>
                <w:color w:val="auto"/>
                <w:kern w:val="0"/>
                <w:sz w:val="21"/>
                <w:szCs w:val="21"/>
                <w:lang w:val="en-US" w:eastAsia="zh-CN"/>
              </w:rPr>
              <w:t>t</w:t>
            </w:r>
            <w:r>
              <w:rPr>
                <w:rFonts w:hint="default" w:ascii="Times New Roman" w:hAnsi="Times New Roman" w:eastAsia="宋体" w:cs="Times New Roman"/>
                <w:b/>
                <w:bCs w:val="0"/>
                <w:color w:val="auto"/>
                <w:kern w:val="0"/>
                <w:sz w:val="21"/>
                <w:szCs w:val="21"/>
              </w:rPr>
              <w:t>er 3</w:t>
            </w:r>
          </w:p>
        </w:tc>
        <w:tc>
          <w:tcPr>
            <w:tcW w:w="7871" w:type="dxa"/>
            <w:gridSpan w:val="3"/>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Cs/>
                <w:color w:val="auto"/>
                <w:szCs w:val="21"/>
                <w:highlight w:val="none"/>
                <w:lang w:val="de-DE"/>
              </w:rPr>
            </w:pPr>
            <w:r>
              <w:rPr>
                <w:rFonts w:hint="default" w:ascii="Times New Roman" w:hAnsi="Times New Roman" w:eastAsia="宋体" w:cs="Times New Roman"/>
                <w:bCs/>
                <w:color w:val="auto"/>
                <w:szCs w:val="21"/>
                <w:highlight w:val="none"/>
                <w:lang w:val="en-US" w:eastAsia="zh-CN"/>
              </w:rPr>
              <w:t>III</w:t>
            </w:r>
            <w:r>
              <w:rPr>
                <w:rFonts w:hint="default" w:ascii="Times New Roman" w:hAnsi="Times New Roman" w:eastAsia="宋体" w:cs="Times New Roman"/>
                <w:bCs/>
                <w:color w:val="auto"/>
                <w:szCs w:val="21"/>
                <w:highlight w:val="none"/>
                <w:lang w:val="de-DE"/>
              </w:rPr>
              <w:t xml:space="preserve">. Substantive conditions for the grant of utility patents </w:t>
            </w:r>
          </w:p>
          <w:p>
            <w:pPr>
              <w:keepNext w:val="0"/>
              <w:keepLines w:val="0"/>
              <w:suppressLineNumbers w:val="0"/>
              <w:spacing w:before="0" w:beforeAutospacing="0" w:after="0" w:afterAutospacing="0"/>
              <w:ind w:left="0" w:right="0"/>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de-DE"/>
              </w:rPr>
              <w:t>1. Novelty</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bCs/>
                <w:color w:val="auto"/>
                <w:szCs w:val="21"/>
                <w:highlight w:val="none"/>
                <w:lang w:val="de-DE"/>
              </w:rPr>
            </w:pPr>
            <w:r>
              <w:rPr>
                <w:rFonts w:hint="default" w:ascii="Times New Roman" w:hAnsi="Times New Roman" w:eastAsia="宋体" w:cs="Times New Roman"/>
                <w:bCs/>
                <w:color w:val="auto"/>
                <w:szCs w:val="21"/>
                <w:highlight w:val="none"/>
                <w:lang w:val="en-US" w:eastAsia="zh-CN"/>
              </w:rPr>
              <w:t>2</w:t>
            </w:r>
            <w:r>
              <w:rPr>
                <w:rFonts w:hint="default" w:ascii="Times New Roman" w:hAnsi="Times New Roman" w:eastAsia="宋体" w:cs="Times New Roman"/>
                <w:bCs/>
                <w:color w:val="auto"/>
                <w:szCs w:val="21"/>
                <w:highlight w:val="none"/>
              </w:rPr>
              <w:t xml:space="preserve">. </w:t>
            </w:r>
            <w:r>
              <w:rPr>
                <w:rFonts w:hint="default" w:ascii="Times New Roman" w:hAnsi="Times New Roman" w:eastAsia="宋体" w:cs="Times New Roman"/>
                <w:bCs/>
                <w:color w:val="auto"/>
                <w:szCs w:val="21"/>
                <w:highlight w:val="none"/>
                <w:lang w:val="de-DE"/>
              </w:rPr>
              <w:t>Practicality</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3.</w:t>
            </w:r>
            <w:r>
              <w:rPr>
                <w:rFonts w:hint="default" w:ascii="Times New Roman" w:hAnsi="Times New Roman" w:eastAsia="宋体" w:cs="Times New Roman"/>
                <w:bCs/>
                <w:color w:val="auto"/>
                <w:szCs w:val="21"/>
                <w:highlight w:val="none"/>
              </w:rPr>
              <w:t>Creativity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2" w:type="dxa"/>
            <w:gridSpan w:val="2"/>
            <w:noWrap w:val="0"/>
            <w:vAlign w:val="center"/>
          </w:tcPr>
          <w:p>
            <w:pPr>
              <w:spacing w:line="240" w:lineRule="auto"/>
              <w:jc w:val="left"/>
              <w:rPr>
                <w:rFonts w:hint="default" w:ascii="Times New Roman" w:hAnsi="Times New Roman" w:eastAsia="宋体" w:cs="Times New Roman"/>
                <w:b/>
                <w:bCs w:val="0"/>
                <w:color w:val="auto"/>
                <w:kern w:val="0"/>
                <w:sz w:val="21"/>
                <w:szCs w:val="21"/>
                <w:lang w:val="en-US" w:eastAsia="zh-CN"/>
              </w:rPr>
            </w:pPr>
            <w:r>
              <w:rPr>
                <w:rFonts w:hint="default" w:ascii="Times New Roman" w:hAnsi="Times New Roman" w:eastAsia="宋体" w:cs="Times New Roman"/>
                <w:b/>
                <w:bCs w:val="0"/>
                <w:color w:val="auto"/>
                <w:kern w:val="0"/>
                <w:sz w:val="21"/>
                <w:szCs w:val="21"/>
              </w:rPr>
              <w:t xml:space="preserve">Chapter </w:t>
            </w:r>
            <w:r>
              <w:rPr>
                <w:rFonts w:hint="default" w:ascii="Times New Roman" w:hAnsi="Times New Roman" w:eastAsia="宋体" w:cs="Times New Roman"/>
                <w:b/>
                <w:bCs w:val="0"/>
                <w:color w:val="auto"/>
                <w:kern w:val="0"/>
                <w:sz w:val="21"/>
                <w:szCs w:val="21"/>
                <w:lang w:val="en-US" w:eastAsia="zh-CN"/>
              </w:rPr>
              <w:t>4</w:t>
            </w:r>
          </w:p>
        </w:tc>
        <w:tc>
          <w:tcPr>
            <w:tcW w:w="7871" w:type="dxa"/>
            <w:gridSpan w:val="3"/>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lang w:val="de-DE"/>
              </w:rPr>
            </w:pPr>
            <w:r>
              <w:rPr>
                <w:rFonts w:hint="default" w:ascii="Times New Roman" w:hAnsi="Times New Roman" w:eastAsia="宋体" w:cs="Times New Roman"/>
                <w:color w:val="auto"/>
                <w:szCs w:val="21"/>
                <w:lang w:val="en-US" w:eastAsia="zh-CN"/>
              </w:rPr>
              <w:t>I</w:t>
            </w:r>
            <w:r>
              <w:rPr>
                <w:rFonts w:hint="default" w:ascii="Times New Roman" w:hAnsi="Times New Roman" w:eastAsia="宋体" w:cs="Times New Roman"/>
                <w:color w:val="auto"/>
                <w:szCs w:val="21"/>
                <w:lang w:val="de-DE"/>
              </w:rPr>
              <w:t>V. Procedural conditions for the grant of a patent</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lang w:val="de-DE"/>
              </w:rPr>
            </w:pPr>
            <w:r>
              <w:rPr>
                <w:rFonts w:hint="default" w:ascii="Times New Roman" w:hAnsi="Times New Roman" w:eastAsia="宋体" w:cs="Times New Roman"/>
                <w:color w:val="auto"/>
                <w:szCs w:val="21"/>
                <w:lang w:val="de-DE"/>
              </w:rPr>
              <w:t>1. Principles of Patent Application</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szCs w:val="21"/>
                <w:lang w:val="de-DE"/>
              </w:rPr>
              <w:t>2. The process of patent application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2" w:type="dxa"/>
            <w:gridSpan w:val="2"/>
            <w:noWrap w:val="0"/>
            <w:vAlign w:val="center"/>
          </w:tcPr>
          <w:p>
            <w:pPr>
              <w:spacing w:line="240" w:lineRule="auto"/>
              <w:jc w:val="left"/>
              <w:rPr>
                <w:rFonts w:hint="default" w:ascii="Times New Roman" w:hAnsi="Times New Roman" w:eastAsia="宋体" w:cs="Times New Roman"/>
                <w:b/>
                <w:bCs w:val="0"/>
                <w:color w:val="auto"/>
                <w:kern w:val="0"/>
                <w:sz w:val="21"/>
                <w:szCs w:val="21"/>
                <w:lang w:val="en-US" w:eastAsia="zh-CN"/>
              </w:rPr>
            </w:pPr>
            <w:r>
              <w:rPr>
                <w:rFonts w:hint="default" w:ascii="Times New Roman" w:hAnsi="Times New Roman" w:eastAsia="宋体" w:cs="Times New Roman"/>
                <w:b/>
                <w:bCs w:val="0"/>
                <w:color w:val="auto"/>
                <w:kern w:val="0"/>
                <w:sz w:val="21"/>
                <w:szCs w:val="21"/>
              </w:rPr>
              <w:t xml:space="preserve">Chapter </w:t>
            </w:r>
            <w:r>
              <w:rPr>
                <w:rFonts w:hint="default" w:ascii="Times New Roman" w:hAnsi="Times New Roman" w:eastAsia="宋体" w:cs="Times New Roman"/>
                <w:b/>
                <w:bCs w:val="0"/>
                <w:color w:val="auto"/>
                <w:kern w:val="0"/>
                <w:sz w:val="21"/>
                <w:szCs w:val="21"/>
                <w:lang w:val="en-US" w:eastAsia="zh-CN"/>
              </w:rPr>
              <w:t>5</w:t>
            </w:r>
          </w:p>
        </w:tc>
        <w:tc>
          <w:tcPr>
            <w:tcW w:w="7871" w:type="dxa"/>
            <w:gridSpan w:val="3"/>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lang w:val="en-US" w:eastAsia="zh-CN"/>
              </w:rPr>
              <w:t>V</w:t>
            </w:r>
            <w:r>
              <w:rPr>
                <w:rFonts w:hint="default" w:ascii="Times New Roman" w:hAnsi="Times New Roman" w:eastAsia="宋体" w:cs="Times New Roman"/>
                <w:bCs/>
                <w:color w:val="auto"/>
                <w:szCs w:val="21"/>
              </w:rPr>
              <w:t xml:space="preserve">. Patent Infringement </w:t>
            </w:r>
          </w:p>
          <w:p>
            <w:pPr>
              <w:keepNext w:val="0"/>
              <w:keepLines w:val="0"/>
              <w:suppressLineNumbers w:val="0"/>
              <w:spacing w:before="0" w:beforeAutospacing="0" w:after="0" w:afterAutospacing="0"/>
              <w:ind w:left="0" w:right="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 Principles of infringement determination</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2. Direct infringement: literal infringement</w:t>
            </w:r>
          </w:p>
          <w:p>
            <w:pPr>
              <w:keepNext w:val="0"/>
              <w:keepLines w:val="0"/>
              <w:suppressLineNumbers w:val="0"/>
              <w:spacing w:before="0" w:beforeAutospacing="0" w:after="0" w:afterAutospacing="0"/>
              <w:ind w:left="0" w:right="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lang w:val="en-US" w:eastAsia="zh-CN"/>
              </w:rPr>
              <w:t>3.E</w:t>
            </w:r>
            <w:r>
              <w:rPr>
                <w:rFonts w:hint="default" w:ascii="Times New Roman" w:hAnsi="Times New Roman" w:eastAsia="宋体" w:cs="Times New Roman"/>
                <w:bCs/>
                <w:color w:val="auto"/>
                <w:szCs w:val="21"/>
              </w:rPr>
              <w:t>quivalent infringement</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2" w:type="dxa"/>
            <w:gridSpan w:val="2"/>
            <w:noWrap w:val="0"/>
            <w:vAlign w:val="center"/>
          </w:tcPr>
          <w:p>
            <w:pPr>
              <w:spacing w:line="240" w:lineRule="auto"/>
              <w:jc w:val="left"/>
              <w:rPr>
                <w:rFonts w:hint="default" w:ascii="Times New Roman" w:hAnsi="Times New Roman" w:eastAsia="宋体" w:cs="Times New Roman"/>
                <w:b/>
                <w:bCs w:val="0"/>
                <w:color w:val="auto"/>
                <w:kern w:val="0"/>
                <w:sz w:val="21"/>
                <w:szCs w:val="21"/>
                <w:lang w:val="en-US" w:eastAsia="zh-CN"/>
              </w:rPr>
            </w:pPr>
            <w:r>
              <w:rPr>
                <w:rFonts w:hint="default" w:ascii="Times New Roman" w:hAnsi="Times New Roman" w:eastAsia="宋体" w:cs="Times New Roman"/>
                <w:b/>
                <w:bCs w:val="0"/>
                <w:color w:val="auto"/>
                <w:kern w:val="0"/>
                <w:sz w:val="21"/>
                <w:szCs w:val="21"/>
              </w:rPr>
              <w:t xml:space="preserve">Chapter </w:t>
            </w:r>
            <w:r>
              <w:rPr>
                <w:rFonts w:hint="default" w:ascii="Times New Roman" w:hAnsi="Times New Roman" w:eastAsia="宋体" w:cs="Times New Roman"/>
                <w:b/>
                <w:bCs w:val="0"/>
                <w:color w:val="auto"/>
                <w:kern w:val="0"/>
                <w:sz w:val="21"/>
                <w:szCs w:val="21"/>
                <w:lang w:val="en-US" w:eastAsia="zh-CN"/>
              </w:rPr>
              <w:t>6</w:t>
            </w:r>
          </w:p>
        </w:tc>
        <w:tc>
          <w:tcPr>
            <w:tcW w:w="7871" w:type="dxa"/>
            <w:gridSpan w:val="3"/>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lang w:val="en-US" w:eastAsia="zh-CN"/>
              </w:rPr>
              <w:t>V</w:t>
            </w:r>
            <w:r>
              <w:rPr>
                <w:rFonts w:hint="default" w:ascii="Times New Roman" w:hAnsi="Times New Roman" w:eastAsia="宋体" w:cs="Times New Roman"/>
                <w:bCs/>
                <w:color w:val="auto"/>
                <w:szCs w:val="21"/>
                <w:highlight w:val="none"/>
              </w:rPr>
              <w:t xml:space="preserve">I. Limitation of Patent Rights </w:t>
            </w:r>
          </w:p>
          <w:p>
            <w:pPr>
              <w:keepNext w:val="0"/>
              <w:keepLines w:val="0"/>
              <w:suppressLineNumbers w:val="0"/>
              <w:spacing w:before="0" w:beforeAutospacing="0" w:after="0" w:afterAutospacing="0"/>
              <w:ind w:left="0" w:right="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 Bolar exception</w:t>
            </w:r>
          </w:p>
          <w:p>
            <w:pPr>
              <w:keepNext w:val="0"/>
              <w:keepLines w:val="0"/>
              <w:suppressLineNumbers w:val="0"/>
              <w:spacing w:before="0" w:beforeAutospacing="0" w:after="0" w:afterAutospacing="0"/>
              <w:ind w:left="0" w:right="0"/>
              <w:rPr>
                <w:rFonts w:hint="default" w:ascii="Times New Roman" w:hAnsi="Times New Roman" w:eastAsia="宋体" w:cs="Times New Roman"/>
                <w:bCs/>
                <w:color w:val="auto"/>
                <w:szCs w:val="21"/>
                <w:highlight w:val="none"/>
              </w:rPr>
            </w:pPr>
            <w:r>
              <w:rPr>
                <w:rFonts w:hint="default" w:ascii="Times New Roman" w:hAnsi="Times New Roman" w:eastAsia="Times New Roman" w:cs="Times New Roman"/>
                <w:bCs/>
                <w:color w:val="auto"/>
                <w:szCs w:val="21"/>
                <w:highlight w:val="none"/>
              </w:rPr>
              <w:t xml:space="preserve">2. </w:t>
            </w:r>
            <w:r>
              <w:rPr>
                <w:rFonts w:hint="default" w:ascii="Times New Roman" w:hAnsi="Times New Roman" w:eastAsia="宋体" w:cs="Times New Roman"/>
                <w:bCs/>
                <w:color w:val="auto"/>
                <w:szCs w:val="21"/>
                <w:highlight w:val="none"/>
              </w:rPr>
              <w:t>Experimental, research use</w:t>
            </w:r>
          </w:p>
          <w:p>
            <w:pPr>
              <w:keepNext w:val="0"/>
              <w:keepLines w:val="0"/>
              <w:suppressLineNumbers w:val="0"/>
              <w:spacing w:before="0" w:beforeAutospacing="0" w:after="0" w:afterAutospacing="0"/>
              <w:ind w:left="0" w:right="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3. Use of rights first</w:t>
            </w:r>
          </w:p>
          <w:p>
            <w:pPr>
              <w:keepNext w:val="0"/>
              <w:keepLines w:val="0"/>
              <w:suppressLineNumbers w:val="0"/>
              <w:spacing w:before="0" w:beforeAutospacing="0" w:after="0" w:afterAutospacing="0"/>
              <w:ind w:left="0" w:right="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lang w:val="en-US" w:eastAsia="zh-CN"/>
              </w:rPr>
              <w:t>4</w:t>
            </w:r>
            <w:r>
              <w:rPr>
                <w:rFonts w:hint="default" w:ascii="Times New Roman" w:hAnsi="Times New Roman" w:eastAsia="宋体" w:cs="Times New Roman"/>
                <w:bCs/>
                <w:color w:val="auto"/>
                <w:szCs w:val="21"/>
                <w:highlight w:val="none"/>
              </w:rPr>
              <w:t>. Parallel imports</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Cs w:val="21"/>
                <w:highlight w:val="none"/>
                <w:lang w:val="en-US" w:eastAsia="zh-CN"/>
              </w:rPr>
              <w:t>5</w:t>
            </w:r>
            <w:r>
              <w:rPr>
                <w:rFonts w:hint="default" w:ascii="Times New Roman" w:hAnsi="Times New Roman" w:eastAsia="宋体" w:cs="Times New Roman"/>
                <w:bCs/>
                <w:color w:val="auto"/>
                <w:szCs w:val="21"/>
                <w:highlight w:val="none"/>
              </w:rPr>
              <w:t>. Compulsory licensing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2" w:type="dxa"/>
            <w:gridSpan w:val="2"/>
            <w:noWrap w:val="0"/>
            <w:vAlign w:val="center"/>
          </w:tcPr>
          <w:p>
            <w:pPr>
              <w:spacing w:line="240" w:lineRule="auto"/>
              <w:jc w:val="left"/>
              <w:rPr>
                <w:rFonts w:hint="default" w:ascii="Times New Roman" w:hAnsi="Times New Roman" w:eastAsia="宋体" w:cs="Times New Roman"/>
                <w:b/>
                <w:bCs w:val="0"/>
                <w:color w:val="auto"/>
                <w:kern w:val="0"/>
                <w:sz w:val="21"/>
                <w:szCs w:val="21"/>
                <w:lang w:val="en-US" w:eastAsia="zh-CN"/>
              </w:rPr>
            </w:pPr>
            <w:r>
              <w:rPr>
                <w:rFonts w:hint="default" w:ascii="Times New Roman" w:hAnsi="Times New Roman" w:eastAsia="宋体" w:cs="Times New Roman"/>
                <w:b/>
                <w:bCs w:val="0"/>
                <w:color w:val="auto"/>
                <w:kern w:val="0"/>
                <w:sz w:val="21"/>
                <w:szCs w:val="21"/>
              </w:rPr>
              <w:t xml:space="preserve">Chapter </w:t>
            </w:r>
            <w:r>
              <w:rPr>
                <w:rFonts w:hint="default" w:ascii="Times New Roman" w:hAnsi="Times New Roman" w:eastAsia="宋体" w:cs="Times New Roman"/>
                <w:b/>
                <w:bCs w:val="0"/>
                <w:color w:val="auto"/>
                <w:kern w:val="0"/>
                <w:sz w:val="21"/>
                <w:szCs w:val="21"/>
                <w:lang w:val="en-US" w:eastAsia="zh-CN"/>
              </w:rPr>
              <w:t>7</w:t>
            </w:r>
          </w:p>
        </w:tc>
        <w:tc>
          <w:tcPr>
            <w:tcW w:w="7871" w:type="dxa"/>
            <w:gridSpan w:val="3"/>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lang w:val="en-US" w:eastAsia="zh-CN"/>
              </w:rPr>
              <w:t>VII</w:t>
            </w:r>
            <w:r>
              <w:rPr>
                <w:rFonts w:hint="default" w:ascii="Times New Roman" w:hAnsi="Times New Roman" w:eastAsia="宋体" w:cs="Times New Roman"/>
                <w:bCs/>
                <w:color w:val="auto"/>
                <w:szCs w:val="21"/>
              </w:rPr>
              <w:t>. Remedies for patent infringement</w:t>
            </w:r>
          </w:p>
          <w:p>
            <w:pPr>
              <w:keepNext w:val="0"/>
              <w:keepLines w:val="0"/>
              <w:numPr>
                <w:ilvl w:val="3"/>
                <w:numId w:val="1"/>
              </w:numPr>
              <w:suppressLineNumbers w:val="0"/>
              <w:spacing w:before="0" w:beforeAutospacing="0" w:after="0" w:afterAutospacing="0"/>
              <w:ind w:right="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Ban</w:t>
            </w:r>
          </w:p>
          <w:p>
            <w:pPr>
              <w:keepNext w:val="0"/>
              <w:keepLines w:val="0"/>
              <w:numPr>
                <w:ilvl w:val="3"/>
                <w:numId w:val="1"/>
              </w:numPr>
              <w:suppressLineNumbers w:val="0"/>
              <w:spacing w:before="0" w:beforeAutospacing="0" w:after="0" w:afterAutospacing="0"/>
              <w:ind w:right="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Damages</w:t>
            </w:r>
          </w:p>
          <w:p>
            <w:pPr>
              <w:keepNext w:val="0"/>
              <w:keepLines w:val="0"/>
              <w:numPr>
                <w:ilvl w:val="3"/>
                <w:numId w:val="1"/>
              </w:numPr>
              <w:suppressLineNumbers w:val="0"/>
              <w:spacing w:before="0" w:beforeAutospacing="0" w:after="0" w:afterAutospacing="0"/>
              <w:ind w:right="0"/>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Cs w:val="21"/>
              </w:rPr>
              <w:t>Punitive Damages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2" w:type="dxa"/>
            <w:gridSpan w:val="2"/>
            <w:noWrap w:val="0"/>
            <w:vAlign w:val="center"/>
          </w:tcPr>
          <w:p>
            <w:pPr>
              <w:spacing w:line="240" w:lineRule="auto"/>
              <w:jc w:val="left"/>
              <w:rPr>
                <w:rFonts w:hint="default" w:ascii="Times New Roman" w:hAnsi="Times New Roman" w:eastAsia="宋体" w:cs="Times New Roman"/>
                <w:b/>
                <w:bCs w:val="0"/>
                <w:color w:val="auto"/>
                <w:kern w:val="0"/>
                <w:sz w:val="21"/>
                <w:szCs w:val="21"/>
                <w:lang w:val="en-US" w:eastAsia="zh-CN"/>
              </w:rPr>
            </w:pPr>
            <w:r>
              <w:rPr>
                <w:rFonts w:hint="default" w:ascii="Times New Roman" w:hAnsi="Times New Roman" w:eastAsia="宋体" w:cs="Times New Roman"/>
                <w:b/>
                <w:bCs w:val="0"/>
                <w:color w:val="auto"/>
                <w:kern w:val="0"/>
                <w:sz w:val="21"/>
                <w:szCs w:val="21"/>
              </w:rPr>
              <w:t xml:space="preserve">Chapter </w:t>
            </w:r>
            <w:r>
              <w:rPr>
                <w:rFonts w:hint="default" w:ascii="Times New Roman" w:hAnsi="Times New Roman" w:eastAsia="宋体" w:cs="Times New Roman"/>
                <w:b/>
                <w:bCs w:val="0"/>
                <w:color w:val="auto"/>
                <w:kern w:val="0"/>
                <w:sz w:val="21"/>
                <w:szCs w:val="21"/>
                <w:lang w:val="en-US" w:eastAsia="zh-CN"/>
              </w:rPr>
              <w:t>8</w:t>
            </w:r>
          </w:p>
        </w:tc>
        <w:tc>
          <w:tcPr>
            <w:tcW w:w="7871" w:type="dxa"/>
            <w:gridSpan w:val="3"/>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lang w:val="de-DE"/>
              </w:rPr>
            </w:pPr>
            <w:r>
              <w:rPr>
                <w:rFonts w:hint="default" w:ascii="Times New Roman" w:hAnsi="Times New Roman" w:eastAsia="宋体" w:cs="Times New Roman"/>
                <w:color w:val="auto"/>
                <w:szCs w:val="21"/>
                <w:lang w:val="en-US" w:eastAsia="zh-CN"/>
              </w:rPr>
              <w:t>VIII</w:t>
            </w:r>
            <w:r>
              <w:rPr>
                <w:rFonts w:hint="default" w:ascii="Times New Roman" w:hAnsi="Times New Roman" w:eastAsia="宋体" w:cs="Times New Roman"/>
                <w:color w:val="auto"/>
                <w:szCs w:val="21"/>
                <w:lang w:val="de-DE"/>
              </w:rPr>
              <w:t xml:space="preserve">. International framework for patent protection </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lang w:val="de-DE"/>
              </w:rPr>
            </w:pPr>
            <w:r>
              <w:rPr>
                <w:rFonts w:hint="default" w:ascii="Times New Roman" w:hAnsi="Times New Roman" w:eastAsia="宋体" w:cs="Times New Roman"/>
                <w:color w:val="auto"/>
                <w:szCs w:val="21"/>
                <w:lang w:val="de-DE"/>
              </w:rPr>
              <w:t>1. Paris Convention for the Protection of Industrial Property</w:t>
            </w:r>
          </w:p>
          <w:p>
            <w:pPr>
              <w:keepNext w:val="0"/>
              <w:keepLines w:val="0"/>
              <w:suppressLineNumbers w:val="0"/>
              <w:spacing w:before="0" w:beforeAutospacing="0" w:after="0" w:afterAutospacing="0"/>
              <w:ind w:left="0" w:leftChars="0" w:right="0" w:rightChars="0"/>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宋体" w:cs="Times New Roman"/>
                <w:color w:val="auto"/>
                <w:szCs w:val="21"/>
                <w:lang w:val="de-DE"/>
              </w:rPr>
              <w:t>2. Agreement on Trade-Related Aspects of Intellectual Property Rights (TRIPS)</w:t>
            </w:r>
          </w:p>
        </w:tc>
      </w:tr>
    </w:tbl>
    <w:p>
      <w:pPr>
        <w:spacing w:line="240" w:lineRule="auto"/>
        <w:jc w:val="both"/>
        <w:rPr>
          <w:rFonts w:hint="eastAsia"/>
          <w:b/>
          <w:bCs/>
          <w:sz w:val="28"/>
          <w:szCs w:val="28"/>
          <w:lang w:val="en-US" w:eastAsia="zh-CN"/>
        </w:rPr>
      </w:pPr>
    </w:p>
    <w:sectPr>
      <w:pgSz w:w="11906" w:h="16838"/>
      <w:pgMar w:top="1440" w:right="567" w:bottom="1440"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AD2575"/>
    <w:multiLevelType w:val="multilevel"/>
    <w:tmpl w:val="76AD257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NmRhNTdlZWFiZmUzNzM0Njc1Y2M2ZTIzNzcwNTMifQ=="/>
  </w:docVars>
  <w:rsids>
    <w:rsidRoot w:val="008B3200"/>
    <w:rsid w:val="0009075B"/>
    <w:rsid w:val="000A5BA8"/>
    <w:rsid w:val="001236D9"/>
    <w:rsid w:val="001857B2"/>
    <w:rsid w:val="002D0E69"/>
    <w:rsid w:val="002F1131"/>
    <w:rsid w:val="003D5FB2"/>
    <w:rsid w:val="004C6A24"/>
    <w:rsid w:val="00510AE5"/>
    <w:rsid w:val="00516D69"/>
    <w:rsid w:val="00597125"/>
    <w:rsid w:val="005B29DC"/>
    <w:rsid w:val="006149F7"/>
    <w:rsid w:val="006B260D"/>
    <w:rsid w:val="00752B7F"/>
    <w:rsid w:val="008570F2"/>
    <w:rsid w:val="00876C61"/>
    <w:rsid w:val="008B3200"/>
    <w:rsid w:val="009E35A0"/>
    <w:rsid w:val="00A95D09"/>
    <w:rsid w:val="00B27B73"/>
    <w:rsid w:val="00CA0588"/>
    <w:rsid w:val="00CB039E"/>
    <w:rsid w:val="00D54EFD"/>
    <w:rsid w:val="00E650C3"/>
    <w:rsid w:val="00E826E3"/>
    <w:rsid w:val="00EA45E8"/>
    <w:rsid w:val="00F06ED2"/>
    <w:rsid w:val="0280574F"/>
    <w:rsid w:val="02D7261A"/>
    <w:rsid w:val="115B29B5"/>
    <w:rsid w:val="11A33565"/>
    <w:rsid w:val="18F5292F"/>
    <w:rsid w:val="22745AB0"/>
    <w:rsid w:val="25BF5484"/>
    <w:rsid w:val="37896BD1"/>
    <w:rsid w:val="5B1A0647"/>
    <w:rsid w:val="637F7835"/>
    <w:rsid w:val="652F7039"/>
    <w:rsid w:val="669C24AC"/>
    <w:rsid w:val="69E76539"/>
    <w:rsid w:val="7BC63D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uiPriority w:val="1624"/>
    <w:pPr>
      <w:ind w:firstLine="420"/>
    </w:pPr>
    <w:rPr>
      <w:sz w:val="2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字符"/>
    <w:link w:val="3"/>
    <w:qFormat/>
    <w:uiPriority w:val="0"/>
    <w:rPr>
      <w:kern w:val="2"/>
      <w:sz w:val="18"/>
      <w:szCs w:val="18"/>
    </w:rPr>
  </w:style>
  <w:style w:type="character" w:customStyle="1" w:styleId="9">
    <w:name w:val="页眉 字符"/>
    <w:link w:val="4"/>
    <w:qFormat/>
    <w:uiPriority w:val="0"/>
    <w:rPr>
      <w:kern w:val="2"/>
      <w:sz w:val="18"/>
      <w:szCs w:val="18"/>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
    <w:name w:val="hps"/>
    <w:basedOn w:val="7"/>
    <w:qFormat/>
    <w:uiPriority w:val="0"/>
  </w:style>
  <w:style w:type="paragraph" w:customStyle="1" w:styleId="12">
    <w:name w:val="tgt1"/>
    <w:basedOn w:val="1"/>
    <w:qFormat/>
    <w:uiPriority w:val="0"/>
    <w:pPr>
      <w:widowControl/>
      <w:spacing w:after="15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高发公司</Company>
  <Pages>3</Pages>
  <Words>659</Words>
  <Characters>3798</Characters>
  <Lines>33</Lines>
  <Paragraphs>9</Paragraphs>
  <TotalTime>2</TotalTime>
  <ScaleCrop>false</ScaleCrop>
  <LinksUpToDate>false</LinksUpToDate>
  <CharactersWithSpaces>4375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2011-05-28T13:21:00Z</dcterms:created>
  <dc:creator>IBM</dc:creator>
  <cp:lastModifiedBy>燕子</cp:lastModifiedBy>
  <dcterms:modified xsi:type="dcterms:W3CDTF">2022-11-04T07:12:46Z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D0B3A28FBF86400CB2FC1866C9C8B27F</vt:lpwstr>
  </property>
</Properties>
</file>