
<file path=[Content_Types].xml><?xml version="1.0" encoding="utf-8"?>
<Types xmlns="http://schemas.openxmlformats.org/package/2006/content-types">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1687" w:firstLineChars="600"/>
        <w:jc w:val="left"/>
        <w:rPr>
          <w:rFonts w:hint="eastAsia" w:ascii="楷体" w:hAnsi="楷体" w:eastAsia="楷体" w:cs="楷体"/>
          <w:b/>
          <w:sz w:val="28"/>
          <w:szCs w:val="28"/>
        </w:rPr>
      </w:pPr>
      <w:r>
        <w:rPr>
          <w:rFonts w:ascii="等线 Light" w:hAnsi="等线 Light"/>
          <w:b/>
          <w:color w:val="000000"/>
          <w:sz w:val="28"/>
          <w:szCs w:val="28"/>
        </w:rPr>
        <w:drawing>
          <wp:anchor distT="0" distB="0" distL="114300" distR="114300" simplePos="0" relativeHeight="251659264" behindDoc="0" locked="0" layoutInCell="1" allowOverlap="1">
            <wp:simplePos x="0" y="0"/>
            <wp:positionH relativeFrom="column">
              <wp:posOffset>476885</wp:posOffset>
            </wp:positionH>
            <wp:positionV relativeFrom="paragraph">
              <wp:posOffset>-33655</wp:posOffset>
            </wp:positionV>
            <wp:extent cx="1126490" cy="1155700"/>
            <wp:effectExtent l="0" t="0" r="1270"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126490" cy="1155700"/>
                    </a:xfrm>
                    <a:prstGeom prst="rect">
                      <a:avLst/>
                    </a:prstGeom>
                    <a:noFill/>
                    <a:ln>
                      <a:noFill/>
                    </a:ln>
                  </pic:spPr>
                </pic:pic>
              </a:graphicData>
            </a:graphic>
          </wp:anchor>
        </w:drawing>
      </w:r>
      <w:r>
        <w:rPr>
          <w:rFonts w:hint="eastAsia" w:ascii="楷体" w:hAnsi="楷体" w:eastAsia="楷体" w:cs="楷体"/>
          <w:b/>
          <w:sz w:val="28"/>
          <w:szCs w:val="28"/>
        </w:rPr>
        <w:t>中南财经政法大学课程教学大纲</w:t>
      </w:r>
    </w:p>
    <w:p>
      <w:pPr>
        <w:spacing w:line="240" w:lineRule="auto"/>
        <w:ind w:firstLine="2530" w:firstLineChars="900"/>
        <w:jc w:val="both"/>
        <w:rPr>
          <w:rFonts w:hint="eastAsia"/>
          <w:b/>
          <w:bCs/>
          <w:sz w:val="28"/>
          <w:szCs w:val="28"/>
          <w:lang w:val="en-US" w:eastAsia="zh-CN"/>
        </w:rPr>
      </w:pPr>
      <w:r>
        <w:rPr>
          <w:rFonts w:hint="eastAsia"/>
          <w:b/>
          <w:bCs/>
          <w:sz w:val="28"/>
          <w:szCs w:val="28"/>
        </w:rPr>
        <w:t>Course</w:t>
      </w:r>
      <w:r>
        <w:rPr>
          <w:rFonts w:hint="eastAsia"/>
          <w:b/>
          <w:bCs/>
          <w:sz w:val="28"/>
          <w:szCs w:val="28"/>
          <w:lang w:val="en-US" w:eastAsia="zh-CN"/>
        </w:rPr>
        <w:t xml:space="preserve"> </w:t>
      </w:r>
      <w:r>
        <w:rPr>
          <w:rFonts w:hint="eastAsia"/>
          <w:b/>
          <w:bCs/>
          <w:sz w:val="28"/>
          <w:szCs w:val="28"/>
        </w:rPr>
        <w:t>Syllabus</w:t>
      </w:r>
      <w:r>
        <w:rPr>
          <w:rFonts w:hint="eastAsia"/>
          <w:b/>
          <w:bCs/>
          <w:sz w:val="28"/>
          <w:szCs w:val="28"/>
          <w:lang w:val="en-US" w:eastAsia="zh-CN"/>
        </w:rPr>
        <w:t xml:space="preserve"> of</w:t>
      </w:r>
    </w:p>
    <w:p>
      <w:pPr>
        <w:spacing w:line="240" w:lineRule="auto"/>
        <w:ind w:firstLine="843" w:firstLineChars="300"/>
        <w:jc w:val="both"/>
        <w:rPr>
          <w:rFonts w:hint="eastAsia"/>
          <w:b/>
          <w:bCs/>
          <w:sz w:val="28"/>
          <w:szCs w:val="28"/>
          <w:lang w:val="en-US" w:eastAsia="zh-CN"/>
        </w:rPr>
      </w:pPr>
      <w:r>
        <w:rPr>
          <w:rFonts w:hint="eastAsia"/>
          <w:b/>
          <w:bCs/>
          <w:sz w:val="28"/>
          <w:szCs w:val="28"/>
          <w:lang w:val="en-US" w:eastAsia="zh-CN"/>
        </w:rPr>
        <w:t>Zhongnan</w:t>
      </w:r>
      <w:r>
        <w:rPr>
          <w:rFonts w:hint="eastAsia"/>
          <w:b/>
          <w:bCs/>
          <w:sz w:val="28"/>
          <w:szCs w:val="28"/>
        </w:rPr>
        <w:t xml:space="preserve"> University</w:t>
      </w:r>
      <w:r>
        <w:rPr>
          <w:rFonts w:hint="eastAsia"/>
          <w:b/>
          <w:bCs/>
          <w:sz w:val="28"/>
          <w:szCs w:val="28"/>
          <w:lang w:val="en-US" w:eastAsia="zh-CN"/>
        </w:rPr>
        <w:t xml:space="preserve"> of Economics and Law</w:t>
      </w:r>
    </w:p>
    <w:p>
      <w:pPr>
        <w:spacing w:line="240" w:lineRule="auto"/>
        <w:ind w:firstLine="843" w:firstLineChars="300"/>
        <w:jc w:val="both"/>
        <w:rPr>
          <w:rFonts w:hint="eastAsia"/>
          <w:b/>
          <w:bCs/>
          <w:sz w:val="28"/>
          <w:szCs w:val="28"/>
          <w:lang w:val="en-US"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3324"/>
        <w:gridCol w:w="1411"/>
        <w:gridCol w:w="3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3" w:type="dxa"/>
            <w:gridSpan w:val="4"/>
            <w:noWrap w:val="0"/>
            <w:vAlign w:val="center"/>
          </w:tcPr>
          <w:p>
            <w:pPr>
              <w:keepNext w:val="0"/>
              <w:keepLines w:val="0"/>
              <w:widowControl/>
              <w:suppressLineNumbers w:val="0"/>
              <w:jc w:val="left"/>
              <w:rPr>
                <w:rFonts w:hint="eastAsia"/>
                <w:b w:val="0"/>
                <w:bCs/>
                <w:color w:val="000000"/>
                <w:kern w:val="0"/>
                <w:sz w:val="21"/>
                <w:szCs w:val="21"/>
                <w:lang w:val="en-US" w:eastAsia="zh-CN"/>
              </w:rPr>
            </w:pPr>
            <w:r>
              <w:rPr>
                <w:rFonts w:hint="eastAsia"/>
                <w:b/>
                <w:bCs w:val="0"/>
                <w:color w:val="000000"/>
                <w:kern w:val="0"/>
                <w:sz w:val="21"/>
                <w:szCs w:val="21"/>
                <w:lang w:val="en-US" w:eastAsia="zh-CN"/>
              </w:rPr>
              <w:t>Course Title:English Moot Court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spacing w:line="240" w:lineRule="auto"/>
              <w:jc w:val="left"/>
              <w:rPr>
                <w:rFonts w:hint="default"/>
                <w:b/>
                <w:bCs w:val="0"/>
                <w:color w:val="000000"/>
                <w:kern w:val="0"/>
                <w:sz w:val="21"/>
                <w:szCs w:val="21"/>
                <w:lang w:val="en-US" w:eastAsia="zh-CN"/>
              </w:rPr>
            </w:pPr>
            <w:r>
              <w:rPr>
                <w:rFonts w:hint="eastAsia"/>
                <w:b/>
                <w:bCs w:val="0"/>
                <w:color w:val="000000"/>
                <w:kern w:val="0"/>
                <w:sz w:val="21"/>
                <w:szCs w:val="21"/>
                <w:lang w:val="en-US" w:eastAsia="zh-CN"/>
              </w:rPr>
              <w:t>Course Code</w:t>
            </w:r>
          </w:p>
        </w:tc>
        <w:tc>
          <w:tcPr>
            <w:tcW w:w="3324" w:type="dxa"/>
            <w:noWrap w:val="0"/>
            <w:vAlign w:val="center"/>
          </w:tcPr>
          <w:p>
            <w:pPr>
              <w:spacing w:line="240" w:lineRule="auto"/>
              <w:jc w:val="center"/>
              <w:rPr>
                <w:rFonts w:hint="eastAsia"/>
                <w:b/>
                <w:bCs/>
                <w:sz w:val="21"/>
                <w:szCs w:val="21"/>
                <w:vertAlign w:val="baseline"/>
                <w:lang w:val="en-US" w:eastAsia="zh-CN"/>
              </w:rPr>
            </w:pPr>
            <w:r>
              <w:rPr>
                <w:rFonts w:hint="eastAsia"/>
                <w:b/>
                <w:bCs/>
                <w:sz w:val="21"/>
                <w:szCs w:val="21"/>
                <w:vertAlign w:val="baseline"/>
                <w:lang w:val="en-US" w:eastAsia="zh-CN"/>
              </w:rPr>
              <w:t>21175006</w:t>
            </w:r>
          </w:p>
        </w:tc>
        <w:tc>
          <w:tcPr>
            <w:tcW w:w="1411" w:type="dxa"/>
            <w:noWrap w:val="0"/>
            <w:vAlign w:val="center"/>
          </w:tcPr>
          <w:p>
            <w:pPr>
              <w:spacing w:line="240" w:lineRule="auto"/>
              <w:jc w:val="left"/>
              <w:rPr>
                <w:rFonts w:hint="eastAsia"/>
                <w:b/>
                <w:bCs w:val="0"/>
                <w:color w:val="000000"/>
                <w:kern w:val="0"/>
                <w:sz w:val="21"/>
                <w:szCs w:val="21"/>
                <w:lang w:val="en-US" w:eastAsia="zh-CN"/>
              </w:rPr>
            </w:pPr>
            <w:r>
              <w:rPr>
                <w:rFonts w:hint="eastAsia"/>
                <w:b/>
                <w:bCs w:val="0"/>
                <w:color w:val="000000"/>
                <w:kern w:val="0"/>
                <w:sz w:val="21"/>
                <w:szCs w:val="21"/>
                <w:lang w:val="en-US" w:eastAsia="zh-CN"/>
              </w:rPr>
              <w:t>Semester</w:t>
            </w:r>
          </w:p>
        </w:tc>
        <w:tc>
          <w:tcPr>
            <w:tcW w:w="3158" w:type="dxa"/>
            <w:noWrap w:val="0"/>
            <w:vAlign w:val="center"/>
          </w:tcPr>
          <w:p>
            <w:pPr>
              <w:spacing w:line="240" w:lineRule="auto"/>
              <w:jc w:val="center"/>
              <w:rPr>
                <w:rFonts w:hint="default"/>
                <w:b/>
                <w:bCs/>
                <w:sz w:val="21"/>
                <w:szCs w:val="21"/>
                <w:vertAlign w:val="baseline"/>
                <w:lang w:val="en-US" w:eastAsia="zh-CN"/>
              </w:rPr>
            </w:pPr>
            <w:r>
              <w:rPr>
                <w:rFonts w:hint="eastAsia"/>
                <w:b/>
                <w:bCs/>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spacing w:line="240" w:lineRule="auto"/>
              <w:jc w:val="left"/>
              <w:rPr>
                <w:rFonts w:hint="eastAsia"/>
                <w:b/>
                <w:bCs w:val="0"/>
                <w:sz w:val="21"/>
                <w:szCs w:val="21"/>
                <w:vertAlign w:val="baseline"/>
                <w:lang w:val="en-US" w:eastAsia="zh-CN"/>
              </w:rPr>
            </w:pPr>
            <w:r>
              <w:rPr>
                <w:b/>
                <w:bCs w:val="0"/>
                <w:color w:val="000000"/>
                <w:kern w:val="0"/>
                <w:sz w:val="21"/>
                <w:szCs w:val="21"/>
              </w:rPr>
              <w:t xml:space="preserve">Teaching </w:t>
            </w:r>
            <w:r>
              <w:rPr>
                <w:rFonts w:hint="eastAsia"/>
                <w:b/>
                <w:bCs w:val="0"/>
                <w:color w:val="000000"/>
                <w:kern w:val="0"/>
                <w:sz w:val="21"/>
                <w:szCs w:val="21"/>
                <w:lang w:val="en-US" w:eastAsia="zh-CN"/>
              </w:rPr>
              <w:t>H</w:t>
            </w:r>
            <w:r>
              <w:rPr>
                <w:b/>
                <w:bCs w:val="0"/>
                <w:color w:val="000000"/>
                <w:kern w:val="0"/>
                <w:sz w:val="21"/>
                <w:szCs w:val="21"/>
              </w:rPr>
              <w:t>ours</w:t>
            </w:r>
          </w:p>
        </w:tc>
        <w:tc>
          <w:tcPr>
            <w:tcW w:w="3324" w:type="dxa"/>
            <w:noWrap w:val="0"/>
            <w:vAlign w:val="center"/>
          </w:tcPr>
          <w:p>
            <w:pPr>
              <w:spacing w:line="240" w:lineRule="auto"/>
              <w:jc w:val="center"/>
              <w:rPr>
                <w:rFonts w:hint="default"/>
                <w:b/>
                <w:bCs/>
                <w:sz w:val="21"/>
                <w:szCs w:val="21"/>
                <w:vertAlign w:val="baseline"/>
                <w:lang w:val="en-US" w:eastAsia="zh-CN"/>
              </w:rPr>
            </w:pPr>
            <w:r>
              <w:rPr>
                <w:rFonts w:hint="eastAsia"/>
                <w:b/>
                <w:bCs/>
                <w:sz w:val="21"/>
                <w:szCs w:val="21"/>
                <w:vertAlign w:val="baseline"/>
                <w:lang w:val="en-US" w:eastAsia="zh-CN"/>
              </w:rPr>
              <w:t>48</w:t>
            </w:r>
          </w:p>
        </w:tc>
        <w:tc>
          <w:tcPr>
            <w:tcW w:w="1411" w:type="dxa"/>
            <w:noWrap w:val="0"/>
            <w:vAlign w:val="center"/>
          </w:tcPr>
          <w:p>
            <w:pPr>
              <w:spacing w:line="240" w:lineRule="auto"/>
              <w:jc w:val="left"/>
              <w:rPr>
                <w:rFonts w:hint="eastAsia"/>
                <w:b/>
                <w:bCs w:val="0"/>
                <w:sz w:val="21"/>
                <w:szCs w:val="21"/>
                <w:vertAlign w:val="baseline"/>
                <w:lang w:val="en-US" w:eastAsia="zh-CN"/>
              </w:rPr>
            </w:pPr>
            <w:r>
              <w:rPr>
                <w:b/>
                <w:bCs w:val="0"/>
                <w:color w:val="000000"/>
                <w:kern w:val="0"/>
                <w:sz w:val="21"/>
                <w:szCs w:val="21"/>
              </w:rPr>
              <w:t>Credits</w:t>
            </w:r>
          </w:p>
        </w:tc>
        <w:tc>
          <w:tcPr>
            <w:tcW w:w="3158" w:type="dxa"/>
            <w:noWrap w:val="0"/>
            <w:vAlign w:val="center"/>
          </w:tcPr>
          <w:p>
            <w:pPr>
              <w:spacing w:line="240" w:lineRule="auto"/>
              <w:jc w:val="center"/>
              <w:rPr>
                <w:rFonts w:hint="default"/>
                <w:b/>
                <w:bCs/>
                <w:sz w:val="21"/>
                <w:szCs w:val="21"/>
                <w:vertAlign w:val="baseline"/>
                <w:lang w:val="en-US" w:eastAsia="zh-CN"/>
              </w:rPr>
            </w:pPr>
            <w:r>
              <w:rPr>
                <w:rFonts w:hint="eastAsia"/>
                <w:b/>
                <w:bCs/>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spacing w:line="240" w:lineRule="auto"/>
              <w:jc w:val="left"/>
              <w:rPr>
                <w:rFonts w:hint="eastAsia"/>
                <w:b/>
                <w:bCs w:val="0"/>
                <w:sz w:val="21"/>
                <w:szCs w:val="21"/>
                <w:vertAlign w:val="baseline"/>
                <w:lang w:val="en-US" w:eastAsia="zh-CN"/>
              </w:rPr>
            </w:pPr>
            <w:r>
              <w:rPr>
                <w:rFonts w:hint="eastAsia"/>
                <w:b/>
                <w:bCs w:val="0"/>
                <w:color w:val="000000"/>
                <w:kern w:val="0"/>
                <w:sz w:val="21"/>
                <w:szCs w:val="21"/>
                <w:lang w:val="en-US" w:eastAsia="zh-CN"/>
              </w:rPr>
              <w:t>Prerequisites</w:t>
            </w:r>
          </w:p>
        </w:tc>
        <w:tc>
          <w:tcPr>
            <w:tcW w:w="7893" w:type="dxa"/>
            <w:gridSpan w:val="3"/>
            <w:noWrap w:val="0"/>
            <w:vAlign w:val="center"/>
          </w:tcPr>
          <w:p>
            <w:pPr>
              <w:spacing w:line="240" w:lineRule="auto"/>
              <w:jc w:val="center"/>
              <w:rPr>
                <w:rFonts w:hint="default"/>
                <w:b/>
                <w:bCs/>
                <w:sz w:val="21"/>
                <w:szCs w:val="21"/>
                <w:vertAlign w:val="baseline"/>
                <w:lang w:val="en-US" w:eastAsia="zh-CN"/>
              </w:rPr>
            </w:pPr>
            <w:r>
              <w:rPr>
                <w:rFonts w:hint="eastAsia"/>
                <w:b/>
                <w:bCs/>
                <w:sz w:val="21"/>
                <w:szCs w:val="21"/>
                <w:vertAlign w:val="baseline"/>
                <w:lang w:val="en-US" w:eastAsia="zh-CN"/>
              </w:rPr>
              <w:t>None</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3" w:type="dxa"/>
            <w:gridSpan w:val="4"/>
            <w:noWrap w:val="0"/>
            <w:vAlign w:val="center"/>
          </w:tcPr>
          <w:p>
            <w:pPr>
              <w:widowControl/>
              <w:spacing w:line="360" w:lineRule="auto"/>
              <w:jc w:val="center"/>
              <w:rPr>
                <w:rFonts w:hint="eastAsia"/>
                <w:b/>
                <w:bCs/>
                <w:sz w:val="21"/>
                <w:szCs w:val="21"/>
                <w:vertAlign w:val="baseline"/>
                <w:lang w:val="en-US" w:eastAsia="zh-CN"/>
              </w:rPr>
            </w:pPr>
            <w:r>
              <w:rPr>
                <w:rFonts w:hint="eastAsia" w:ascii="Times New Roman" w:hAnsi="Times New Roman" w:eastAsia="宋体" w:cs="Times New Roman"/>
                <w:b/>
                <w:bCs w:val="0"/>
                <w:color w:val="000000"/>
                <w:kern w:val="0"/>
                <w:sz w:val="21"/>
                <w:szCs w:val="21"/>
                <w:lang w:val="en-US" w:eastAsia="zh-CN"/>
              </w:rPr>
              <w:t>Instructor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spacing w:line="240" w:lineRule="auto"/>
              <w:jc w:val="left"/>
              <w:rPr>
                <w:rFonts w:hint="eastAsia"/>
                <w:b/>
                <w:bCs/>
                <w:sz w:val="21"/>
                <w:szCs w:val="21"/>
                <w:vertAlign w:val="baseline"/>
                <w:lang w:val="en-US" w:eastAsia="zh-CN"/>
              </w:rPr>
            </w:pPr>
            <w:r>
              <w:rPr>
                <w:rFonts w:hint="eastAsia"/>
                <w:b/>
                <w:bCs w:val="0"/>
                <w:color w:val="000000"/>
                <w:kern w:val="0"/>
                <w:sz w:val="21"/>
                <w:szCs w:val="21"/>
                <w:lang w:val="en-US" w:eastAsia="zh-CN"/>
              </w:rPr>
              <w:t>Name</w:t>
            </w:r>
          </w:p>
        </w:tc>
        <w:tc>
          <w:tcPr>
            <w:tcW w:w="3324" w:type="dxa"/>
            <w:noWrap w:val="0"/>
            <w:vAlign w:val="center"/>
          </w:tcPr>
          <w:p>
            <w:pPr>
              <w:spacing w:line="240" w:lineRule="auto"/>
              <w:jc w:val="center"/>
              <w:rPr>
                <w:rFonts w:hint="eastAsia"/>
                <w:b/>
                <w:bCs/>
                <w:sz w:val="21"/>
                <w:szCs w:val="21"/>
                <w:vertAlign w:val="baseline"/>
                <w:lang w:val="en-US" w:eastAsia="zh-CN"/>
              </w:rPr>
            </w:pPr>
            <w:r>
              <w:rPr>
                <w:rFonts w:hint="eastAsia"/>
                <w:b/>
                <w:bCs/>
                <w:caps w:val="0"/>
                <w:smallCaps/>
                <w:sz w:val="21"/>
                <w:szCs w:val="21"/>
                <w:vertAlign w:val="baseline"/>
                <w:lang w:val="en-US" w:eastAsia="zh-CN"/>
              </w:rPr>
              <w:t>Xiao</w:t>
            </w:r>
            <w:r>
              <w:rPr>
                <w:rFonts w:hint="eastAsia"/>
                <w:b/>
                <w:bCs/>
                <w:sz w:val="21"/>
                <w:szCs w:val="21"/>
                <w:vertAlign w:val="baseline"/>
                <w:lang w:val="en-US" w:eastAsia="zh-CN"/>
              </w:rPr>
              <w:t xml:space="preserve"> Peng</w:t>
            </w:r>
          </w:p>
          <w:p>
            <w:pPr>
              <w:spacing w:line="240" w:lineRule="auto"/>
              <w:jc w:val="center"/>
              <w:rPr>
                <w:rFonts w:hint="default"/>
                <w:b/>
                <w:bCs/>
                <w:sz w:val="21"/>
                <w:szCs w:val="21"/>
                <w:vertAlign w:val="baseline"/>
                <w:lang w:val="en-US" w:eastAsia="zh-CN"/>
              </w:rPr>
            </w:pPr>
            <w:r>
              <w:rPr>
                <w:rFonts w:hint="eastAsia"/>
                <w:b/>
                <w:bCs/>
                <w:sz w:val="21"/>
                <w:szCs w:val="21"/>
                <w:vertAlign w:val="baseline"/>
                <w:lang w:val="en-US" w:eastAsia="zh-CN"/>
              </w:rPr>
              <w:t>Lei Yidan</w:t>
            </w:r>
          </w:p>
        </w:tc>
        <w:tc>
          <w:tcPr>
            <w:tcW w:w="1411" w:type="dxa"/>
            <w:noWrap w:val="0"/>
            <w:vAlign w:val="center"/>
          </w:tcPr>
          <w:p>
            <w:pPr>
              <w:spacing w:line="240" w:lineRule="auto"/>
              <w:jc w:val="left"/>
              <w:rPr>
                <w:rFonts w:hint="eastAsia"/>
                <w:b/>
                <w:bCs/>
                <w:sz w:val="21"/>
                <w:szCs w:val="21"/>
                <w:vertAlign w:val="baseline"/>
                <w:lang w:val="en-US" w:eastAsia="zh-CN"/>
              </w:rPr>
            </w:pPr>
            <w:r>
              <w:rPr>
                <w:rFonts w:hint="eastAsia"/>
                <w:b/>
                <w:bCs w:val="0"/>
                <w:color w:val="000000"/>
                <w:kern w:val="0"/>
                <w:sz w:val="21"/>
                <w:szCs w:val="21"/>
                <w:lang w:val="en-US" w:eastAsia="zh-CN"/>
              </w:rPr>
              <w:t>Email</w:t>
            </w:r>
          </w:p>
        </w:tc>
        <w:tc>
          <w:tcPr>
            <w:tcW w:w="3158" w:type="dxa"/>
            <w:noWrap w:val="0"/>
            <w:vAlign w:val="center"/>
          </w:tcPr>
          <w:p>
            <w:pPr>
              <w:spacing w:line="240" w:lineRule="auto"/>
              <w:jc w:val="center"/>
              <w:rPr>
                <w:rFonts w:hint="eastAsia"/>
                <w:b/>
                <w:bCs/>
                <w:sz w:val="21"/>
                <w:szCs w:val="21"/>
                <w:vertAlign w:val="baseline"/>
                <w:lang w:val="en-US" w:eastAsia="zh-CN"/>
              </w:rPr>
            </w:pPr>
            <w:r>
              <w:rPr>
                <w:rFonts w:hint="eastAsia"/>
                <w:b/>
                <w:bCs/>
                <w:sz w:val="21"/>
                <w:szCs w:val="21"/>
                <w:vertAlign w:val="baseline"/>
                <w:lang w:val="en-US" w:eastAsia="zh-CN"/>
              </w:rPr>
              <w:t>xiaopeng@zuel.edu.cn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spacing w:line="240" w:lineRule="auto"/>
              <w:jc w:val="left"/>
              <w:rPr>
                <w:rFonts w:hint="eastAsia"/>
                <w:b/>
                <w:bCs/>
                <w:sz w:val="21"/>
                <w:szCs w:val="21"/>
                <w:vertAlign w:val="baseline"/>
                <w:lang w:val="en-US" w:eastAsia="zh-CN"/>
              </w:rPr>
            </w:pPr>
            <w:r>
              <w:rPr>
                <w:rFonts w:hint="eastAsia"/>
                <w:b/>
                <w:bCs w:val="0"/>
                <w:color w:val="000000"/>
                <w:kern w:val="0"/>
                <w:sz w:val="21"/>
                <w:szCs w:val="21"/>
                <w:lang w:val="en-US" w:eastAsia="zh-CN"/>
              </w:rPr>
              <w:t>Institute</w:t>
            </w:r>
          </w:p>
        </w:tc>
        <w:tc>
          <w:tcPr>
            <w:tcW w:w="7893" w:type="dxa"/>
            <w:gridSpan w:val="3"/>
            <w:noWrap w:val="0"/>
            <w:vAlign w:val="center"/>
          </w:tcPr>
          <w:p>
            <w:pPr>
              <w:spacing w:line="240" w:lineRule="auto"/>
              <w:jc w:val="center"/>
              <w:rPr>
                <w:rFonts w:hint="default"/>
                <w:b/>
                <w:bCs/>
                <w:sz w:val="21"/>
                <w:szCs w:val="21"/>
                <w:vertAlign w:val="baseline"/>
                <w:lang w:val="en-US" w:eastAsia="zh-CN"/>
              </w:rPr>
            </w:pPr>
            <w:r>
              <w:rPr>
                <w:rFonts w:hint="eastAsia"/>
                <w:b/>
                <w:bCs/>
                <w:sz w:val="21"/>
                <w:szCs w:val="21"/>
                <w:vertAlign w:val="baseline"/>
                <w:lang w:val="en-US" w:eastAsia="zh-CN"/>
              </w:rPr>
              <w:t>Law School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spacing w:line="240" w:lineRule="auto"/>
              <w:jc w:val="left"/>
              <w:rPr>
                <w:rFonts w:hint="eastAsia"/>
                <w:b/>
                <w:bCs w:val="0"/>
                <w:sz w:val="21"/>
                <w:szCs w:val="21"/>
                <w:vertAlign w:val="baseline"/>
                <w:lang w:val="en-US" w:eastAsia="zh-CN"/>
              </w:rPr>
            </w:pPr>
            <w:r>
              <w:rPr>
                <w:b/>
                <w:bCs w:val="0"/>
                <w:color w:val="2B2B2B"/>
                <w:sz w:val="21"/>
                <w:szCs w:val="21"/>
              </w:rPr>
              <w:t xml:space="preserve">Applicable </w:t>
            </w:r>
            <w:r>
              <w:rPr>
                <w:rFonts w:hint="eastAsia"/>
                <w:b/>
                <w:bCs w:val="0"/>
                <w:color w:val="2B2B2B"/>
                <w:sz w:val="21"/>
                <w:szCs w:val="21"/>
                <w:lang w:val="en-US" w:eastAsia="zh-CN"/>
              </w:rPr>
              <w:t>O</w:t>
            </w:r>
            <w:r>
              <w:rPr>
                <w:b/>
                <w:bCs w:val="0"/>
                <w:color w:val="2B2B2B"/>
                <w:sz w:val="21"/>
                <w:szCs w:val="21"/>
              </w:rPr>
              <w:t>bject</w:t>
            </w:r>
          </w:p>
        </w:tc>
        <w:tc>
          <w:tcPr>
            <w:tcW w:w="7893" w:type="dxa"/>
            <w:gridSpan w:val="3"/>
            <w:noWrap w:val="0"/>
            <w:vAlign w:val="center"/>
          </w:tcPr>
          <w:p>
            <w:pPr>
              <w:spacing w:line="240" w:lineRule="auto"/>
              <w:jc w:val="left"/>
              <w:rPr>
                <w:rFonts w:hint="eastAsia" w:eastAsia="宋体"/>
                <w:b/>
                <w:bCs/>
                <w:sz w:val="21"/>
                <w:szCs w:val="21"/>
                <w:vertAlign w:val="baseline"/>
                <w:lang w:val="en-US" w:eastAsia="zh-CN"/>
              </w:rPr>
            </w:pPr>
            <w:r>
              <w:rPr>
                <w:b/>
                <w:bCs w:val="0"/>
                <w:color w:val="2B2B2B"/>
                <w:sz w:val="21"/>
                <w:szCs w:val="21"/>
                <w:lang w:val="en-US" w:eastAsia="zh-CN"/>
              </w:rPr>
              <w:t>Students</w:t>
            </w:r>
            <w:r>
              <w:rPr>
                <w:rFonts w:hint="eastAsia"/>
                <w:b/>
                <w:bCs w:val="0"/>
                <w:color w:val="2B2B2B"/>
                <w:sz w:val="21"/>
                <w:szCs w:val="21"/>
                <w:lang w:val="en-US" w:eastAsia="zh-CN"/>
              </w:rPr>
              <w:t xml:space="preserve"> in </w:t>
            </w:r>
            <w:r>
              <w:rPr>
                <w:b/>
                <w:bCs w:val="0"/>
                <w:color w:val="2B2B2B"/>
                <w:sz w:val="21"/>
                <w:szCs w:val="21"/>
                <w:lang w:val="en-US" w:eastAsia="zh-CN"/>
              </w:rPr>
              <w:t>Foreign-related lawyer</w:t>
            </w:r>
            <w:r>
              <w:rPr>
                <w:rFonts w:hint="eastAsia"/>
                <w:b/>
                <w:bCs w:val="0"/>
                <w:color w:val="2B2B2B"/>
                <w:sz w:val="21"/>
                <w:szCs w:val="21"/>
                <w:lang w:val="en-US" w:eastAsia="zh-CN"/>
              </w:rPr>
              <w:t xml:space="preserve"> Class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spacing w:line="240" w:lineRule="auto"/>
              <w:jc w:val="left"/>
              <w:rPr>
                <w:rFonts w:hint="eastAsia"/>
                <w:b/>
                <w:bCs w:val="0"/>
                <w:sz w:val="21"/>
                <w:szCs w:val="21"/>
                <w:vertAlign w:val="baseline"/>
                <w:lang w:val="en-US" w:eastAsia="zh-CN"/>
              </w:rPr>
            </w:pPr>
            <w:r>
              <w:rPr>
                <w:rFonts w:hint="eastAsia"/>
                <w:b/>
                <w:bCs w:val="0"/>
                <w:color w:val="000000"/>
                <w:kern w:val="0"/>
                <w:sz w:val="21"/>
                <w:szCs w:val="21"/>
                <w:lang w:val="en-US" w:eastAsia="zh-CN"/>
              </w:rPr>
              <w:t>Course Objectives</w:t>
            </w:r>
          </w:p>
        </w:tc>
        <w:tc>
          <w:tcPr>
            <w:tcW w:w="7893" w:type="dxa"/>
            <w:gridSpan w:val="3"/>
            <w:noWrap w:val="0"/>
            <w:vAlign w:val="top"/>
          </w:tcPr>
          <w:p>
            <w:pPr>
              <w:rPr>
                <w:bCs/>
              </w:rPr>
            </w:pPr>
            <w:r>
              <w:rPr>
                <w:bCs/>
              </w:rPr>
              <w:t>Basic theories and the moot court argument skills in the field of international space law will make a great sense for students, lawyers and other professionals to think about or deal with specific legal issues in a right, effective, and professional way.</w:t>
            </w:r>
          </w:p>
          <w:p>
            <w:pPr>
              <w:rPr>
                <w:bCs/>
              </w:rPr>
            </w:pPr>
            <w:r>
              <w:rPr>
                <w:bCs/>
              </w:rPr>
              <w:t>Specifically, this course will enable students to:</w:t>
            </w:r>
          </w:p>
          <w:p>
            <w:pPr>
              <w:rPr>
                <w:bCs/>
              </w:rPr>
            </w:pPr>
            <w:r>
              <w:rPr>
                <w:bCs/>
              </w:rPr>
              <w:t>- acquire the basic knowledge of International Space Law.</w:t>
            </w:r>
          </w:p>
          <w:p>
            <w:pPr>
              <w:rPr>
                <w:bCs/>
              </w:rPr>
            </w:pPr>
            <w:r>
              <w:rPr>
                <w:bCs/>
              </w:rPr>
              <w:t>- acquire the ability to quickly search the information in the case about international law.</w:t>
            </w:r>
          </w:p>
          <w:p>
            <w:pPr>
              <w:rPr>
                <w:bCs/>
              </w:rPr>
            </w:pPr>
            <w:r>
              <w:rPr>
                <w:bCs/>
              </w:rPr>
              <w:t xml:space="preserve">- cultivate the ability to write a good memo for the case in English. </w:t>
            </w:r>
          </w:p>
          <w:p>
            <w:pPr>
              <w:rPr>
                <w:bCs/>
              </w:rPr>
            </w:pPr>
            <w:r>
              <w:rPr>
                <w:bCs/>
              </w:rPr>
              <w:t xml:space="preserve">- cultivate the ability to debate controversial points in international law in English. </w:t>
            </w:r>
          </w:p>
          <w:p>
            <w:pPr>
              <w:rPr>
                <w:bCs/>
              </w:rPr>
            </w:pPr>
            <w:r>
              <w:rPr>
                <w:rFonts w:hint="eastAsia"/>
                <w:bCs/>
                <w:lang w:val="en-US" w:eastAsia="zh-CN"/>
              </w:rPr>
              <w:t>-</w:t>
            </w:r>
            <w:r>
              <w:rPr>
                <w:bCs/>
              </w:rPr>
              <w:t xml:space="preserve">cultivate the ability </w:t>
            </w:r>
            <w:r>
              <w:rPr>
                <w:rFonts w:hint="eastAsia"/>
                <w:bCs/>
                <w:lang w:val="en-US" w:eastAsia="zh-CN"/>
              </w:rPr>
              <w:t>for English presentation skills</w:t>
            </w:r>
            <w:r>
              <w:rPr>
                <w:bCs/>
              </w:rPr>
              <w:t>.</w:t>
            </w:r>
          </w:p>
          <w:p>
            <w:pPr>
              <w:rPr>
                <w:rFonts w:hint="eastAsia"/>
                <w:b/>
                <w:bCs/>
                <w:sz w:val="21"/>
                <w:szCs w:val="21"/>
                <w:vertAlign w:val="baseline"/>
                <w:lang w:val="en-US" w:eastAsia="zh-CN"/>
              </w:rPr>
            </w:pPr>
            <w:r>
              <w:rPr>
                <w:rFonts w:hint="eastAsia"/>
                <w:bCs/>
                <w:lang w:val="en-US" w:eastAsia="zh-CN"/>
              </w:rPr>
              <w:t>-</w:t>
            </w:r>
            <w:r>
              <w:rPr>
                <w:bCs/>
              </w:rPr>
              <w:t xml:space="preserve">cultivate the ability to </w:t>
            </w:r>
            <w:r>
              <w:rPr>
                <w:rFonts w:hint="eastAsia"/>
                <w:bCs/>
                <w:lang w:val="en-US" w:eastAsia="zh-CN"/>
              </w:rPr>
              <w:t>form a good personal image</w:t>
            </w: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pStyle w:val="12"/>
              <w:spacing w:line="336" w:lineRule="auto"/>
              <w:jc w:val="left"/>
              <w:rPr>
                <w:rFonts w:ascii="Times New Roman" w:hAnsi="Times New Roman" w:cs="Times New Roman"/>
                <w:b/>
                <w:bCs w:val="0"/>
                <w:color w:val="000000"/>
                <w:sz w:val="21"/>
                <w:szCs w:val="21"/>
              </w:rPr>
            </w:pPr>
            <w:r>
              <w:rPr>
                <w:rFonts w:ascii="Times New Roman" w:hAnsi="Times New Roman" w:cs="Times New Roman"/>
                <w:b/>
                <w:bCs w:val="0"/>
                <w:color w:val="000000"/>
                <w:sz w:val="21"/>
                <w:szCs w:val="21"/>
              </w:rPr>
              <w:t>Course</w:t>
            </w:r>
            <w:r>
              <w:rPr>
                <w:rFonts w:hint="eastAsia" w:ascii="Times New Roman" w:hAnsi="Times New Roman" w:cs="Times New Roman"/>
                <w:b/>
                <w:bCs w:val="0"/>
                <w:color w:val="000000"/>
                <w:sz w:val="21"/>
                <w:szCs w:val="21"/>
                <w:lang w:val="en-US" w:eastAsia="zh-CN"/>
              </w:rPr>
              <w:t xml:space="preserve"> D</w:t>
            </w:r>
            <w:r>
              <w:rPr>
                <w:rFonts w:ascii="Times New Roman" w:hAnsi="Times New Roman" w:cs="Times New Roman"/>
                <w:b/>
                <w:bCs w:val="0"/>
                <w:color w:val="000000"/>
                <w:sz w:val="21"/>
                <w:szCs w:val="21"/>
              </w:rPr>
              <w:t>escription</w:t>
            </w:r>
          </w:p>
          <w:p>
            <w:pPr>
              <w:pStyle w:val="12"/>
              <w:spacing w:line="336" w:lineRule="auto"/>
              <w:jc w:val="left"/>
              <w:rPr>
                <w:rFonts w:hint="eastAsia"/>
                <w:b/>
                <w:bCs w:val="0"/>
                <w:color w:val="000000"/>
                <w:kern w:val="0"/>
                <w:sz w:val="21"/>
                <w:szCs w:val="21"/>
                <w:lang w:val="en-US" w:eastAsia="zh-CN"/>
              </w:rPr>
            </w:pPr>
            <w:r>
              <w:rPr>
                <w:rFonts w:hint="eastAsia" w:ascii="Times New Roman" w:hAnsi="Times New Roman" w:cs="Times New Roman"/>
                <w:b/>
                <w:bCs w:val="0"/>
                <w:color w:val="000000"/>
                <w:sz w:val="21"/>
                <w:szCs w:val="21"/>
                <w:lang w:val="en-US" w:eastAsia="zh-CN"/>
              </w:rPr>
              <w:t>(200 words)</w:t>
            </w:r>
          </w:p>
        </w:tc>
        <w:tc>
          <w:tcPr>
            <w:tcW w:w="7893" w:type="dxa"/>
            <w:gridSpan w:val="3"/>
            <w:noWrap w:val="0"/>
            <w:vAlign w:val="top"/>
          </w:tcPr>
          <w:p>
            <w:pPr>
              <w:rPr>
                <w:rFonts w:hint="eastAsia"/>
                <w:b/>
                <w:bCs/>
                <w:sz w:val="21"/>
                <w:szCs w:val="21"/>
                <w:vertAlign w:val="baseline"/>
                <w:lang w:val="en-US" w:eastAsia="zh-CN"/>
              </w:rPr>
            </w:pPr>
            <w:r>
              <w:rPr>
                <w:rFonts w:hint="eastAsia"/>
                <w:bCs/>
                <w:lang w:val="en-US" w:eastAsia="zh-CN"/>
              </w:rPr>
              <w:t>The moot court is an important part of the practice teaching of law major. The guidance of the teacher is based on moot court competitions, setting up a moot court training program, letting the students play as judges, prosecutors, plaintiffs, defendants, agents, witnesses,clerks and other roles that participating adjudication of the cases. It makes up for the disconnect between traditional teaching in legal theory and practice, so that law students can further understand and apply the legal expertise learned through handling real cases, develop necessary skills to cooperation and basic vocational skills.Through the whole process of simulated trial of the selected case, students will be familiar with the actual procedure of judicial trial, the substantive law and procedural law related to the case, deepen their accurate understanding of the relevant procedural law, and exercise their ability to engage in legal practice in a real environment. Participation in moot court activities through personal experience can cultivate and train students' ability to find, analyze and solve problems, improve students' ability to collect data, write legal documents and express ideas, improve students' professional skills and practical skills, and also test students' presentation skills, the degree of mastery of legal theory, students' reaction ability and thinking ability,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spacing w:line="240" w:lineRule="auto"/>
              <w:jc w:val="left"/>
              <w:rPr>
                <w:rFonts w:hint="eastAsia"/>
                <w:b/>
                <w:bCs w:val="0"/>
                <w:color w:val="000000"/>
                <w:kern w:val="0"/>
                <w:sz w:val="21"/>
                <w:szCs w:val="21"/>
                <w:lang w:val="en-US" w:eastAsia="zh-CN"/>
              </w:rPr>
            </w:pPr>
            <w:r>
              <w:rPr>
                <w:b/>
                <w:bCs w:val="0"/>
                <w:color w:val="000000"/>
                <w:sz w:val="21"/>
                <w:szCs w:val="21"/>
              </w:rPr>
              <w:t>Assess</w:t>
            </w:r>
            <w:r>
              <w:rPr>
                <w:rFonts w:hint="eastAsia"/>
                <w:b/>
                <w:bCs w:val="0"/>
                <w:color w:val="000000"/>
                <w:sz w:val="21"/>
                <w:szCs w:val="21"/>
                <w:lang w:val="en-US" w:eastAsia="zh-CN"/>
              </w:rPr>
              <w:t>m</w:t>
            </w:r>
            <w:r>
              <w:rPr>
                <w:b/>
                <w:bCs w:val="0"/>
                <w:color w:val="000000"/>
                <w:sz w:val="21"/>
                <w:szCs w:val="21"/>
              </w:rPr>
              <w:t xml:space="preserve">ent </w:t>
            </w:r>
            <w:r>
              <w:rPr>
                <w:rFonts w:hint="eastAsia"/>
                <w:b/>
                <w:bCs w:val="0"/>
                <w:color w:val="000000"/>
                <w:sz w:val="21"/>
                <w:szCs w:val="21"/>
                <w:lang w:val="en-US" w:eastAsia="zh-CN"/>
              </w:rPr>
              <w:t>M</w:t>
            </w:r>
            <w:r>
              <w:rPr>
                <w:b/>
                <w:bCs w:val="0"/>
                <w:color w:val="000000"/>
                <w:sz w:val="21"/>
                <w:szCs w:val="21"/>
              </w:rPr>
              <w:t>ethods</w:t>
            </w:r>
          </w:p>
        </w:tc>
        <w:tc>
          <w:tcPr>
            <w:tcW w:w="7893" w:type="dxa"/>
            <w:gridSpan w:val="3"/>
            <w:noWrap w:val="0"/>
            <w:vAlign w:val="top"/>
          </w:tcPr>
          <w:p>
            <w:pPr>
              <w:rPr>
                <w:rFonts w:cs="Calibri"/>
                <w:color w:val="000000"/>
                <w:kern w:val="0"/>
                <w:szCs w:val="21"/>
              </w:rPr>
            </w:pPr>
            <w:r>
              <w:rPr>
                <w:rFonts w:hint="eastAsia"/>
                <w:szCs w:val="21"/>
              </w:rPr>
              <w:t xml:space="preserve">This is a </w:t>
            </w:r>
            <w:r>
              <w:rPr>
                <w:rFonts w:hint="eastAsia"/>
                <w:szCs w:val="21"/>
                <w:lang w:val="en-US" w:eastAsia="zh-CN"/>
              </w:rPr>
              <w:t xml:space="preserve">3 </w:t>
            </w:r>
            <w:r>
              <w:rPr>
                <w:rFonts w:hint="eastAsia"/>
                <w:szCs w:val="21"/>
              </w:rPr>
              <w:t xml:space="preserve">credit course. The </w:t>
            </w:r>
            <w:r>
              <w:rPr>
                <w:rFonts w:hint="eastAsia" w:cs="Calibri"/>
                <w:color w:val="000000"/>
                <w:kern w:val="0"/>
                <w:szCs w:val="21"/>
              </w:rPr>
              <w:t xml:space="preserve">total grades are composed by </w:t>
            </w:r>
            <w:r>
              <w:rPr>
                <w:rFonts w:cs="Calibri"/>
                <w:color w:val="000000"/>
                <w:kern w:val="0"/>
                <w:szCs w:val="21"/>
              </w:rPr>
              <w:t>three</w:t>
            </w:r>
            <w:r>
              <w:rPr>
                <w:rFonts w:hint="eastAsia" w:cs="Calibri"/>
                <w:color w:val="000000"/>
                <w:kern w:val="0"/>
                <w:szCs w:val="21"/>
              </w:rPr>
              <w:t xml:space="preserve"> parts: class </w:t>
            </w:r>
            <w:r>
              <w:rPr>
                <w:rFonts w:cs="Calibri"/>
                <w:color w:val="000000"/>
                <w:kern w:val="0"/>
                <w:szCs w:val="21"/>
              </w:rPr>
              <w:t>attendance (</w:t>
            </w:r>
            <w:r>
              <w:rPr>
                <w:rFonts w:hint="eastAsia" w:cs="Calibri"/>
                <w:color w:val="000000"/>
                <w:kern w:val="0"/>
                <w:szCs w:val="21"/>
                <w:lang w:val="en-US" w:eastAsia="zh-CN"/>
              </w:rPr>
              <w:t>2</w:t>
            </w:r>
            <w:r>
              <w:rPr>
                <w:rFonts w:cs="Calibri"/>
                <w:color w:val="000000"/>
                <w:kern w:val="0"/>
                <w:szCs w:val="21"/>
              </w:rPr>
              <w:t>0%), the memo writing (</w:t>
            </w:r>
            <w:r>
              <w:rPr>
                <w:rFonts w:hint="eastAsia" w:cs="Calibri"/>
                <w:color w:val="000000"/>
                <w:kern w:val="0"/>
                <w:szCs w:val="21"/>
                <w:lang w:val="en-US" w:eastAsia="zh-CN"/>
              </w:rPr>
              <w:t>4</w:t>
            </w:r>
            <w:r>
              <w:rPr>
                <w:rFonts w:hint="eastAsia" w:cs="Calibri"/>
                <w:color w:val="000000"/>
                <w:kern w:val="0"/>
                <w:szCs w:val="21"/>
              </w:rPr>
              <w:t xml:space="preserve">0%), and </w:t>
            </w:r>
            <w:r>
              <w:rPr>
                <w:rFonts w:cs="Calibri"/>
                <w:color w:val="000000"/>
                <w:kern w:val="0"/>
                <w:szCs w:val="21"/>
              </w:rPr>
              <w:t>the debate (</w:t>
            </w:r>
            <w:r>
              <w:rPr>
                <w:rFonts w:hint="eastAsia" w:cs="Calibri"/>
                <w:color w:val="000000"/>
                <w:kern w:val="0"/>
                <w:szCs w:val="21"/>
                <w:lang w:val="en-US" w:eastAsia="zh-CN"/>
              </w:rPr>
              <w:t>4</w:t>
            </w:r>
            <w:r>
              <w:rPr>
                <w:rFonts w:hint="eastAsia" w:cs="Calibri"/>
                <w:color w:val="000000"/>
                <w:kern w:val="0"/>
                <w:szCs w:val="21"/>
              </w:rPr>
              <w:t xml:space="preserve">0%). </w:t>
            </w:r>
            <w:r>
              <w:rPr>
                <w:rFonts w:cs="Calibri"/>
                <w:color w:val="000000"/>
                <w:kern w:val="0"/>
                <w:szCs w:val="21"/>
              </w:rPr>
              <w:t>T</w:t>
            </w:r>
            <w:r>
              <w:rPr>
                <w:rFonts w:hint="eastAsia" w:cs="Calibri"/>
                <w:color w:val="000000"/>
                <w:kern w:val="0"/>
                <w:szCs w:val="21"/>
              </w:rPr>
              <w:t xml:space="preserve">he attendance in class counts towards the total grade </w:t>
            </w:r>
            <w:r>
              <w:rPr>
                <w:rFonts w:hint="eastAsia" w:cs="Calibri"/>
                <w:color w:val="000000"/>
                <w:kern w:val="0"/>
                <w:szCs w:val="21"/>
                <w:lang w:val="en-US" w:eastAsia="zh-CN"/>
              </w:rPr>
              <w:t>3</w:t>
            </w:r>
            <w:r>
              <w:rPr>
                <w:rFonts w:hint="eastAsia" w:cs="Calibri"/>
                <w:color w:val="000000"/>
                <w:kern w:val="0"/>
                <w:szCs w:val="21"/>
              </w:rPr>
              <w:t>0%. Students</w:t>
            </w:r>
            <w:r>
              <w:rPr>
                <w:rFonts w:cs="Calibri"/>
                <w:color w:val="000000"/>
                <w:kern w:val="0"/>
                <w:szCs w:val="21"/>
              </w:rPr>
              <w:t xml:space="preserve"> divided into different groups</w:t>
            </w:r>
            <w:r>
              <w:rPr>
                <w:rFonts w:hint="eastAsia" w:cs="Calibri"/>
                <w:color w:val="000000"/>
                <w:kern w:val="0"/>
                <w:szCs w:val="21"/>
              </w:rPr>
              <w:t xml:space="preserve"> will be arranged to </w:t>
            </w:r>
            <w:r>
              <w:rPr>
                <w:rFonts w:cs="Calibri"/>
                <w:color w:val="000000"/>
                <w:kern w:val="0"/>
                <w:szCs w:val="21"/>
              </w:rPr>
              <w:t xml:space="preserve">write the corresponding parts of the case memo synchronizing with the teaching of the controversial points in the case, and the debate will run through the teaching and writing. At last, the case memo and the debate performance will be evaluated and graded at the end of the semester. </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03"/>
              <w:gridCol w:w="2523"/>
              <w:gridCol w:w="2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Pr>
                <w:p>
                  <w:pPr>
                    <w:jc w:val="center"/>
                  </w:pPr>
                </w:p>
              </w:tc>
              <w:tc>
                <w:tcPr>
                  <w:tcW w:w="2841" w:type="dxa"/>
                </w:tcPr>
                <w:p>
                  <w:pPr>
                    <w:jc w:val="center"/>
                  </w:pPr>
                  <w:r>
                    <w:rPr>
                      <w:b/>
                    </w:rPr>
                    <w:t>Date</w:t>
                  </w:r>
                </w:p>
              </w:tc>
              <w:tc>
                <w:tcPr>
                  <w:tcW w:w="2841" w:type="dxa"/>
                </w:tcPr>
                <w:p>
                  <w:pPr>
                    <w:jc w:val="center"/>
                  </w:pPr>
                  <w:r>
                    <w:rPr>
                      <w:b/>
                    </w:rPr>
                    <w:t>Weight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Pr>
                <w:p>
                  <w:pPr>
                    <w:jc w:val="center"/>
                  </w:pPr>
                  <w:r>
                    <w:rPr>
                      <w:rFonts w:hint="eastAsia"/>
                    </w:rPr>
                    <w:t>Attendance</w:t>
                  </w:r>
                </w:p>
              </w:tc>
              <w:tc>
                <w:tcPr>
                  <w:tcW w:w="2841" w:type="dxa"/>
                </w:tcPr>
                <w:p>
                  <w:pPr>
                    <w:jc w:val="center"/>
                  </w:pPr>
                  <w:r>
                    <w:rPr>
                      <w:rFonts w:hint="eastAsia"/>
                    </w:rPr>
                    <w:t>the 1</w:t>
                  </w:r>
                  <w:r>
                    <w:rPr>
                      <w:rFonts w:hint="eastAsia"/>
                      <w:vertAlign w:val="superscript"/>
                    </w:rPr>
                    <w:t xml:space="preserve">st </w:t>
                  </w:r>
                  <w:r>
                    <w:rPr>
                      <w:rFonts w:hint="eastAsia"/>
                    </w:rPr>
                    <w:t xml:space="preserve">to the </w:t>
                  </w:r>
                  <w:r>
                    <w:t>16</w:t>
                  </w:r>
                  <w:r>
                    <w:rPr>
                      <w:rFonts w:hint="eastAsia"/>
                      <w:vertAlign w:val="superscript"/>
                    </w:rPr>
                    <w:t>th</w:t>
                  </w:r>
                  <w:r>
                    <w:rPr>
                      <w:rFonts w:hint="eastAsia"/>
                    </w:rPr>
                    <w:t xml:space="preserve"> weeks</w:t>
                  </w:r>
                </w:p>
              </w:tc>
              <w:tc>
                <w:tcPr>
                  <w:tcW w:w="2841" w:type="dxa"/>
                </w:tcPr>
                <w:p>
                  <w:pPr>
                    <w:jc w:val="center"/>
                  </w:pPr>
                  <w:r>
                    <w:rPr>
                      <w:rFonts w:hint="eastAsia"/>
                      <w:lang w:val="en-US" w:eastAsia="zh-CN"/>
                    </w:rPr>
                    <w:t>2</w:t>
                  </w: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Pr>
                <w:p>
                  <w:pPr>
                    <w:jc w:val="center"/>
                  </w:pPr>
                  <w:r>
                    <w:t>Memo writing</w:t>
                  </w:r>
                </w:p>
              </w:tc>
              <w:tc>
                <w:tcPr>
                  <w:tcW w:w="2841" w:type="dxa"/>
                </w:tcPr>
                <w:p>
                  <w:pPr>
                    <w:jc w:val="center"/>
                  </w:pPr>
                  <w:r>
                    <w:rPr>
                      <w:rFonts w:hint="eastAsia"/>
                    </w:rPr>
                    <w:t xml:space="preserve">the </w:t>
                  </w:r>
                  <w:r>
                    <w:t>2</w:t>
                  </w:r>
                  <w:r>
                    <w:rPr>
                      <w:rFonts w:hint="eastAsia"/>
                      <w:vertAlign w:val="superscript"/>
                    </w:rPr>
                    <w:t xml:space="preserve">st </w:t>
                  </w:r>
                  <w:r>
                    <w:rPr>
                      <w:rFonts w:hint="eastAsia"/>
                    </w:rPr>
                    <w:t xml:space="preserve">to the </w:t>
                  </w:r>
                  <w:r>
                    <w:t>16</w:t>
                  </w:r>
                  <w:r>
                    <w:rPr>
                      <w:rFonts w:hint="eastAsia"/>
                      <w:vertAlign w:val="superscript"/>
                    </w:rPr>
                    <w:t>th</w:t>
                  </w:r>
                  <w:r>
                    <w:rPr>
                      <w:rFonts w:hint="eastAsia"/>
                    </w:rPr>
                    <w:t xml:space="preserve"> weeks</w:t>
                  </w:r>
                </w:p>
              </w:tc>
              <w:tc>
                <w:tcPr>
                  <w:tcW w:w="2841" w:type="dxa"/>
                </w:tcPr>
                <w:p>
                  <w:pPr>
                    <w:jc w:val="center"/>
                  </w:pPr>
                  <w:r>
                    <w:rPr>
                      <w:rFonts w:hint="eastAsia"/>
                      <w:lang w:val="en-US" w:eastAsia="zh-CN"/>
                    </w:rPr>
                    <w:t>4</w:t>
                  </w: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Pr>
                <w:p>
                  <w:pPr>
                    <w:jc w:val="center"/>
                  </w:pPr>
                  <w:r>
                    <w:t>Debate performance</w:t>
                  </w:r>
                </w:p>
              </w:tc>
              <w:tc>
                <w:tcPr>
                  <w:tcW w:w="2841" w:type="dxa"/>
                </w:tcPr>
                <w:p>
                  <w:pPr>
                    <w:jc w:val="center"/>
                  </w:pPr>
                  <w:r>
                    <w:rPr>
                      <w:rFonts w:hint="eastAsia"/>
                    </w:rPr>
                    <w:t xml:space="preserve">the </w:t>
                  </w:r>
                  <w:r>
                    <w:t>2</w:t>
                  </w:r>
                  <w:r>
                    <w:rPr>
                      <w:rFonts w:hint="eastAsia"/>
                      <w:vertAlign w:val="superscript"/>
                    </w:rPr>
                    <w:t xml:space="preserve">st </w:t>
                  </w:r>
                  <w:r>
                    <w:rPr>
                      <w:rFonts w:hint="eastAsia"/>
                    </w:rPr>
                    <w:t xml:space="preserve">to the </w:t>
                  </w:r>
                  <w:r>
                    <w:t>16</w:t>
                  </w:r>
                  <w:r>
                    <w:rPr>
                      <w:rFonts w:hint="eastAsia"/>
                      <w:vertAlign w:val="superscript"/>
                    </w:rPr>
                    <w:t>th</w:t>
                  </w:r>
                  <w:r>
                    <w:rPr>
                      <w:rFonts w:hint="eastAsia"/>
                    </w:rPr>
                    <w:t xml:space="preserve"> weeks</w:t>
                  </w:r>
                </w:p>
              </w:tc>
              <w:tc>
                <w:tcPr>
                  <w:tcW w:w="2841" w:type="dxa"/>
                </w:tcPr>
                <w:p>
                  <w:pPr>
                    <w:jc w:val="center"/>
                  </w:pPr>
                  <w:r>
                    <w:rPr>
                      <w:rFonts w:hint="eastAsia"/>
                      <w:lang w:val="en-US" w:eastAsia="zh-CN"/>
                    </w:rPr>
                    <w:t>4</w:t>
                  </w: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Pr>
                <w:p>
                  <w:pPr>
                    <w:jc w:val="center"/>
                  </w:pPr>
                  <w:r>
                    <w:t>Total</w:t>
                  </w:r>
                </w:p>
              </w:tc>
              <w:tc>
                <w:tcPr>
                  <w:tcW w:w="2841" w:type="dxa"/>
                </w:tcPr>
                <w:p>
                  <w:pPr>
                    <w:jc w:val="center"/>
                  </w:pPr>
                </w:p>
              </w:tc>
              <w:tc>
                <w:tcPr>
                  <w:tcW w:w="2841" w:type="dxa"/>
                </w:tcPr>
                <w:p>
                  <w:pPr>
                    <w:jc w:val="center"/>
                  </w:pPr>
                  <w:r>
                    <w:rPr>
                      <w:rFonts w:hint="eastAsia"/>
                    </w:rPr>
                    <w:t>100</w:t>
                  </w:r>
                </w:p>
              </w:tc>
            </w:tr>
          </w:tbl>
          <w:p>
            <w:pPr>
              <w:spacing w:line="240" w:lineRule="auto"/>
              <w:jc w:val="both"/>
              <w:rPr>
                <w:rFonts w:hint="eastAsia"/>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spacing w:line="240" w:lineRule="auto"/>
              <w:jc w:val="left"/>
              <w:rPr>
                <w:rFonts w:hint="eastAsia"/>
                <w:b/>
                <w:bCs w:val="0"/>
                <w:color w:val="000000"/>
                <w:sz w:val="21"/>
                <w:szCs w:val="21"/>
                <w:lang w:val="en-US" w:eastAsia="zh-CN"/>
              </w:rPr>
            </w:pPr>
            <w:r>
              <w:rPr>
                <w:b/>
                <w:bCs w:val="0"/>
                <w:color w:val="000000"/>
                <w:kern w:val="0"/>
                <w:sz w:val="21"/>
                <w:szCs w:val="21"/>
              </w:rPr>
              <w:t>Textbook</w:t>
            </w:r>
            <w:r>
              <w:rPr>
                <w:rFonts w:hint="eastAsia"/>
                <w:b/>
                <w:bCs w:val="0"/>
                <w:color w:val="000000"/>
                <w:kern w:val="0"/>
                <w:sz w:val="21"/>
                <w:szCs w:val="21"/>
                <w:lang w:val="en-US" w:eastAsia="zh-CN"/>
              </w:rPr>
              <w:t>s and References</w:t>
            </w:r>
          </w:p>
        </w:tc>
        <w:tc>
          <w:tcPr>
            <w:tcW w:w="7893" w:type="dxa"/>
            <w:gridSpan w:val="3"/>
            <w:noWrap w:val="0"/>
            <w:vAlign w:val="top"/>
          </w:tcPr>
          <w:p>
            <w:pPr>
              <w:rPr>
                <w:bCs/>
              </w:rPr>
            </w:pPr>
            <w:r>
              <w:rPr>
                <w:bCs/>
              </w:rPr>
              <w:t>Christopher D. Johnson ed., Handbook for New Actors in Space, the Secure World Foundation 2017.</w:t>
            </w:r>
          </w:p>
          <w:p>
            <w:pPr>
              <w:rPr>
                <w:rFonts w:hint="eastAsia"/>
                <w:b/>
                <w:bCs/>
                <w:sz w:val="21"/>
                <w:szCs w:val="21"/>
                <w:vertAlign w:val="baseline"/>
                <w:lang w:val="en-US" w:eastAsia="zh-CN"/>
              </w:rPr>
            </w:pPr>
            <w:r>
              <w:rPr>
                <w:bCs/>
              </w:rPr>
              <w:t xml:space="preserve">Stephan Hobe, </w:t>
            </w:r>
            <w:r>
              <w:rPr>
                <w:rFonts w:hint="eastAsia"/>
                <w:bCs/>
              </w:rPr>
              <w:t>C</w:t>
            </w:r>
            <w:r>
              <w:rPr>
                <w:bCs/>
              </w:rPr>
              <w:t>ologne Commentary on Space Law, Carl Heymanns Verlag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3" w:type="dxa"/>
            <w:gridSpan w:val="4"/>
            <w:noWrap w:val="0"/>
            <w:vAlign w:val="center"/>
          </w:tcPr>
          <w:p>
            <w:pPr>
              <w:spacing w:line="240" w:lineRule="auto"/>
              <w:jc w:val="center"/>
              <w:rPr>
                <w:rFonts w:hint="eastAsia"/>
                <w:b/>
                <w:bCs/>
                <w:sz w:val="21"/>
                <w:szCs w:val="21"/>
                <w:vertAlign w:val="baseline"/>
                <w:lang w:val="en-US" w:eastAsia="zh-CN"/>
              </w:rPr>
            </w:pPr>
            <w:r>
              <w:rPr>
                <w:rFonts w:hint="eastAsia" w:ascii="Times New Roman" w:hAnsi="Times New Roman" w:eastAsia="宋体" w:cs="Times New Roman"/>
                <w:b/>
                <w:bCs w:val="0"/>
                <w:color w:val="000000"/>
                <w:sz w:val="21"/>
                <w:szCs w:val="21"/>
                <w:lang w:val="en-US" w:eastAsia="zh-CN"/>
              </w:rPr>
              <w:t>Course planning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spacing w:line="240" w:lineRule="auto"/>
              <w:jc w:val="left"/>
              <w:rPr>
                <w:rFonts w:hint="default" w:ascii="Times New Roman" w:hAnsi="Times New Roman" w:eastAsia="宋体" w:cs="Times New Roman"/>
                <w:b/>
                <w:bCs w:val="0"/>
                <w:color w:val="000000"/>
                <w:kern w:val="0"/>
                <w:sz w:val="21"/>
                <w:szCs w:val="21"/>
                <w:lang w:val="en-US" w:eastAsia="zh-CN"/>
              </w:rPr>
            </w:pPr>
            <w:r>
              <w:rPr>
                <w:rFonts w:hint="default" w:ascii="Times New Roman" w:hAnsi="Times New Roman" w:eastAsia="宋体" w:cs="Times New Roman"/>
                <w:b/>
                <w:bCs w:val="0"/>
                <w:color w:val="000000"/>
                <w:kern w:val="0"/>
                <w:sz w:val="21"/>
                <w:szCs w:val="21"/>
              </w:rPr>
              <w:t>Chap</w:t>
            </w:r>
            <w:r>
              <w:rPr>
                <w:rFonts w:hint="default" w:ascii="Times New Roman" w:hAnsi="Times New Roman" w:eastAsia="宋体" w:cs="Times New Roman"/>
                <w:b/>
                <w:bCs w:val="0"/>
                <w:color w:val="000000"/>
                <w:kern w:val="0"/>
                <w:sz w:val="21"/>
                <w:szCs w:val="21"/>
                <w:lang w:val="en-US" w:eastAsia="zh-CN"/>
              </w:rPr>
              <w:t>t</w:t>
            </w:r>
            <w:r>
              <w:rPr>
                <w:rFonts w:hint="default" w:ascii="Times New Roman" w:hAnsi="Times New Roman" w:eastAsia="宋体" w:cs="Times New Roman"/>
                <w:b/>
                <w:bCs w:val="0"/>
                <w:color w:val="000000"/>
                <w:kern w:val="0"/>
                <w:sz w:val="21"/>
                <w:szCs w:val="21"/>
              </w:rPr>
              <w:t>er 1</w:t>
            </w:r>
          </w:p>
        </w:tc>
        <w:tc>
          <w:tcPr>
            <w:tcW w:w="7893" w:type="dxa"/>
            <w:gridSpan w:val="3"/>
            <w:noWrap w:val="0"/>
            <w:vAlign w:val="center"/>
          </w:tcPr>
          <w:p>
            <w:pPr>
              <w:spacing w:line="240" w:lineRule="auto"/>
              <w:jc w:val="both"/>
              <w:rPr>
                <w:rFonts w:hint="default" w:ascii="Times New Roman" w:hAnsi="Times New Roman" w:eastAsia="宋体" w:cs="Times New Roman"/>
                <w:b/>
                <w:bCs w:val="0"/>
                <w:color w:val="000000"/>
                <w:sz w:val="21"/>
                <w:szCs w:val="21"/>
                <w:lang w:val="en-US" w:eastAsia="zh-CN"/>
              </w:rPr>
            </w:pPr>
            <w:r>
              <w:rPr>
                <w:rFonts w:hint="default" w:ascii="Times New Roman" w:hAnsi="Times New Roman" w:cs="Times New Roman"/>
                <w:b/>
                <w:bCs w:val="0"/>
                <w:color w:val="000000"/>
                <w:sz w:val="21"/>
                <w:szCs w:val="21"/>
                <w:lang w:val="en-US" w:eastAsia="zh-CN"/>
              </w:rPr>
              <w:t>Topic</w:t>
            </w:r>
            <w:r>
              <w:rPr>
                <w:rFonts w:hint="default" w:ascii="Times New Roman" w:hAnsi="Times New Roman" w:eastAsia="宋体" w:cs="Times New Roman"/>
                <w:b/>
                <w:bCs w:val="0"/>
                <w:color w:val="000000"/>
                <w:sz w:val="21"/>
                <w:szCs w:val="21"/>
                <w:lang w:val="en-US" w:eastAsia="zh-CN"/>
              </w:rPr>
              <w:t>:</w:t>
            </w:r>
            <w:r>
              <w:rPr>
                <w:rFonts w:hint="default" w:ascii="Times New Roman" w:hAnsi="Times New Roman" w:cs="Times New Roman"/>
                <w:bCs/>
              </w:rPr>
              <w:t>International space law and Lachs Moot Court competition</w:t>
            </w:r>
          </w:p>
          <w:p>
            <w:pPr>
              <w:spacing w:line="240" w:lineRule="auto"/>
              <w:jc w:val="both"/>
              <w:rPr>
                <w:rFonts w:hint="default" w:ascii="Times New Roman" w:hAnsi="Times New Roman" w:eastAsia="宋体" w:cs="Times New Roman"/>
                <w:b/>
                <w:bCs w:val="0"/>
                <w:color w:val="000000"/>
                <w:sz w:val="21"/>
                <w:szCs w:val="21"/>
                <w:lang w:val="en-US" w:eastAsia="zh-CN"/>
              </w:rPr>
            </w:pPr>
            <w:r>
              <w:rPr>
                <w:rFonts w:hint="default" w:ascii="Times New Roman" w:hAnsi="Times New Roman" w:cs="Times New Roman"/>
                <w:bCs/>
              </w:rPr>
              <w:t>It presents the history, current situation and the future of the International Space Law, and the significance of participating in the moot court for a student.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spacing w:line="240" w:lineRule="auto"/>
              <w:jc w:val="left"/>
              <w:rPr>
                <w:rFonts w:hint="default" w:ascii="Times New Roman" w:hAnsi="Times New Roman" w:eastAsia="宋体" w:cs="Times New Roman"/>
                <w:b/>
                <w:bCs w:val="0"/>
                <w:color w:val="000000"/>
                <w:kern w:val="0"/>
                <w:sz w:val="21"/>
                <w:szCs w:val="21"/>
                <w:lang w:val="en-US" w:eastAsia="zh-CN"/>
              </w:rPr>
            </w:pPr>
            <w:r>
              <w:rPr>
                <w:rFonts w:hint="default" w:ascii="Times New Roman" w:hAnsi="Times New Roman" w:eastAsia="宋体" w:cs="Times New Roman"/>
                <w:b/>
                <w:bCs w:val="0"/>
                <w:color w:val="000000"/>
                <w:kern w:val="0"/>
                <w:sz w:val="21"/>
                <w:szCs w:val="21"/>
              </w:rPr>
              <w:t>Chap</w:t>
            </w:r>
            <w:r>
              <w:rPr>
                <w:rFonts w:hint="default" w:ascii="Times New Roman" w:hAnsi="Times New Roman" w:eastAsia="宋体" w:cs="Times New Roman"/>
                <w:b/>
                <w:bCs w:val="0"/>
                <w:color w:val="000000"/>
                <w:kern w:val="0"/>
                <w:sz w:val="21"/>
                <w:szCs w:val="21"/>
                <w:lang w:val="en-US" w:eastAsia="zh-CN"/>
              </w:rPr>
              <w:t>t</w:t>
            </w:r>
            <w:r>
              <w:rPr>
                <w:rFonts w:hint="default" w:ascii="Times New Roman" w:hAnsi="Times New Roman" w:eastAsia="宋体" w:cs="Times New Roman"/>
                <w:b/>
                <w:bCs w:val="0"/>
                <w:color w:val="000000"/>
                <w:kern w:val="0"/>
                <w:sz w:val="21"/>
                <w:szCs w:val="21"/>
              </w:rPr>
              <w:t xml:space="preserve">er 2 </w:t>
            </w:r>
          </w:p>
        </w:tc>
        <w:tc>
          <w:tcPr>
            <w:tcW w:w="7893" w:type="dxa"/>
            <w:gridSpan w:val="3"/>
            <w:noWrap w:val="0"/>
            <w:vAlign w:val="center"/>
          </w:tcPr>
          <w:p>
            <w:pPr>
              <w:spacing w:line="240" w:lineRule="auto"/>
              <w:jc w:val="both"/>
              <w:rPr>
                <w:rFonts w:hint="default" w:ascii="Times New Roman" w:hAnsi="Times New Roman" w:eastAsia="宋体" w:cs="Times New Roman"/>
                <w:b/>
                <w:bCs w:val="0"/>
                <w:color w:val="000000"/>
                <w:sz w:val="21"/>
                <w:szCs w:val="21"/>
                <w:lang w:val="en-US" w:eastAsia="zh-CN"/>
              </w:rPr>
            </w:pPr>
            <w:r>
              <w:rPr>
                <w:rFonts w:hint="default" w:ascii="Times New Roman" w:hAnsi="Times New Roman" w:cs="Times New Roman"/>
                <w:b/>
                <w:bCs w:val="0"/>
                <w:color w:val="000000"/>
                <w:sz w:val="21"/>
                <w:szCs w:val="21"/>
                <w:lang w:val="en-US" w:eastAsia="zh-CN"/>
              </w:rPr>
              <w:t>Topic</w:t>
            </w:r>
            <w:r>
              <w:rPr>
                <w:rFonts w:hint="default" w:ascii="Times New Roman" w:hAnsi="Times New Roman" w:eastAsia="宋体" w:cs="Times New Roman"/>
                <w:b/>
                <w:bCs w:val="0"/>
                <w:color w:val="000000"/>
                <w:sz w:val="21"/>
                <w:szCs w:val="21"/>
                <w:lang w:val="en-US" w:eastAsia="zh-CN"/>
              </w:rPr>
              <w:t>:</w:t>
            </w:r>
            <w:r>
              <w:rPr>
                <w:rFonts w:hint="default" w:ascii="Times New Roman" w:hAnsi="Times New Roman" w:cs="Times New Roman"/>
                <w:bCs/>
              </w:rPr>
              <w:t>The value of international rule of law in outer space</w:t>
            </w:r>
          </w:p>
          <w:p>
            <w:pPr>
              <w:spacing w:line="240" w:lineRule="auto"/>
              <w:jc w:val="both"/>
              <w:rPr>
                <w:rFonts w:hint="default" w:ascii="Times New Roman" w:hAnsi="Times New Roman" w:eastAsia="宋体" w:cs="Times New Roman"/>
                <w:b/>
                <w:bCs w:val="0"/>
                <w:color w:val="000000"/>
                <w:sz w:val="21"/>
                <w:szCs w:val="21"/>
                <w:lang w:val="en-US" w:eastAsia="zh-CN"/>
              </w:rPr>
            </w:pPr>
            <w:r>
              <w:rPr>
                <w:rFonts w:hint="default" w:ascii="Times New Roman" w:hAnsi="Times New Roman" w:cs="Times New Roman"/>
                <w:bCs/>
              </w:rPr>
              <w:t>It discusses three values embedded in international space law, which are the peace, the freedom and equality, and win-win in cooperation.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spacing w:line="240" w:lineRule="auto"/>
              <w:jc w:val="left"/>
              <w:rPr>
                <w:rFonts w:hint="default" w:ascii="Times New Roman" w:hAnsi="Times New Roman" w:eastAsia="宋体" w:cs="Times New Roman"/>
                <w:b/>
                <w:bCs w:val="0"/>
                <w:color w:val="000000"/>
                <w:kern w:val="0"/>
                <w:sz w:val="21"/>
                <w:szCs w:val="21"/>
                <w:lang w:val="en-US" w:eastAsia="zh-CN"/>
              </w:rPr>
            </w:pPr>
            <w:r>
              <w:rPr>
                <w:rFonts w:hint="default" w:ascii="Times New Roman" w:hAnsi="Times New Roman" w:eastAsia="宋体" w:cs="Times New Roman"/>
                <w:b/>
                <w:bCs w:val="0"/>
                <w:color w:val="000000"/>
                <w:kern w:val="0"/>
                <w:sz w:val="21"/>
                <w:szCs w:val="21"/>
              </w:rPr>
              <w:t>Chap</w:t>
            </w:r>
            <w:r>
              <w:rPr>
                <w:rFonts w:hint="default" w:ascii="Times New Roman" w:hAnsi="Times New Roman" w:eastAsia="宋体" w:cs="Times New Roman"/>
                <w:b/>
                <w:bCs w:val="0"/>
                <w:color w:val="000000"/>
                <w:kern w:val="0"/>
                <w:sz w:val="21"/>
                <w:szCs w:val="21"/>
                <w:lang w:val="en-US" w:eastAsia="zh-CN"/>
              </w:rPr>
              <w:t>t</w:t>
            </w:r>
            <w:r>
              <w:rPr>
                <w:rFonts w:hint="default" w:ascii="Times New Roman" w:hAnsi="Times New Roman" w:eastAsia="宋体" w:cs="Times New Roman"/>
                <w:b/>
                <w:bCs w:val="0"/>
                <w:color w:val="000000"/>
                <w:kern w:val="0"/>
                <w:sz w:val="21"/>
                <w:szCs w:val="21"/>
              </w:rPr>
              <w:t>er 3</w:t>
            </w:r>
          </w:p>
        </w:tc>
        <w:tc>
          <w:tcPr>
            <w:tcW w:w="7893" w:type="dxa"/>
            <w:gridSpan w:val="3"/>
            <w:noWrap w:val="0"/>
            <w:vAlign w:val="center"/>
          </w:tcPr>
          <w:p>
            <w:pPr>
              <w:spacing w:line="240" w:lineRule="auto"/>
              <w:jc w:val="both"/>
              <w:rPr>
                <w:rFonts w:hint="default" w:ascii="Times New Roman" w:hAnsi="Times New Roman" w:cs="Times New Roman"/>
                <w:bCs/>
                <w:lang w:val="en-US" w:eastAsia="zh-CN"/>
              </w:rPr>
            </w:pPr>
            <w:r>
              <w:rPr>
                <w:rFonts w:hint="default" w:ascii="Times New Roman" w:hAnsi="Times New Roman" w:cs="Times New Roman"/>
                <w:b/>
                <w:bCs w:val="0"/>
                <w:color w:val="000000"/>
                <w:sz w:val="21"/>
                <w:szCs w:val="21"/>
                <w:lang w:val="en-US" w:eastAsia="zh-CN"/>
              </w:rPr>
              <w:t>Topic</w:t>
            </w:r>
            <w:r>
              <w:rPr>
                <w:rFonts w:hint="default" w:ascii="Times New Roman" w:hAnsi="Times New Roman" w:eastAsia="宋体" w:cs="Times New Roman"/>
                <w:b/>
                <w:bCs w:val="0"/>
                <w:color w:val="000000"/>
                <w:sz w:val="21"/>
                <w:szCs w:val="21"/>
                <w:lang w:val="en-US" w:eastAsia="zh-CN"/>
              </w:rPr>
              <w:t>:</w:t>
            </w:r>
            <w:r>
              <w:rPr>
                <w:rFonts w:hint="default" w:ascii="Times New Roman" w:hAnsi="Times New Roman" w:cs="Times New Roman"/>
                <w:b/>
                <w:bCs w:val="0"/>
                <w:color w:val="000000"/>
                <w:sz w:val="21"/>
                <w:szCs w:val="21"/>
                <w:lang w:val="en-US" w:eastAsia="zh-CN"/>
              </w:rPr>
              <w:t xml:space="preserve"> </w:t>
            </w:r>
            <w:r>
              <w:rPr>
                <w:rFonts w:hint="default" w:ascii="Times New Roman" w:hAnsi="Times New Roman" w:cs="Times New Roman"/>
                <w:bCs/>
              </w:rPr>
              <w:t>The international regime for resource exploitation and management in outer space</w:t>
            </w:r>
          </w:p>
          <w:p>
            <w:pPr>
              <w:spacing w:line="240" w:lineRule="auto"/>
              <w:jc w:val="both"/>
              <w:rPr>
                <w:rFonts w:hint="default" w:ascii="Times New Roman" w:hAnsi="Times New Roman" w:eastAsia="宋体" w:cs="Times New Roman"/>
                <w:b/>
                <w:bCs w:val="0"/>
                <w:color w:val="000000"/>
                <w:sz w:val="21"/>
                <w:szCs w:val="21"/>
                <w:lang w:val="en-US" w:eastAsia="zh-CN"/>
              </w:rPr>
            </w:pPr>
            <w:r>
              <w:rPr>
                <w:rFonts w:hint="default" w:ascii="Times New Roman" w:hAnsi="Times New Roman" w:cs="Times New Roman"/>
                <w:bCs/>
              </w:rPr>
              <w:t>It explores the history of negotiation of Article 2 in OST and the subsequent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spacing w:line="240" w:lineRule="auto"/>
              <w:jc w:val="left"/>
              <w:rPr>
                <w:rFonts w:hint="default" w:ascii="Times New Roman" w:hAnsi="Times New Roman" w:eastAsia="宋体" w:cs="Times New Roman"/>
                <w:b/>
                <w:bCs w:val="0"/>
                <w:color w:val="000000"/>
                <w:kern w:val="0"/>
                <w:sz w:val="21"/>
                <w:szCs w:val="21"/>
                <w:lang w:val="en-US" w:eastAsia="zh-CN"/>
              </w:rPr>
            </w:pPr>
            <w:r>
              <w:rPr>
                <w:rFonts w:hint="default" w:ascii="Times New Roman" w:hAnsi="Times New Roman" w:eastAsia="宋体" w:cs="Times New Roman"/>
                <w:b/>
                <w:bCs w:val="0"/>
                <w:color w:val="000000"/>
                <w:kern w:val="0"/>
                <w:sz w:val="21"/>
                <w:szCs w:val="21"/>
              </w:rPr>
              <w:t xml:space="preserve">Chapter </w:t>
            </w:r>
            <w:r>
              <w:rPr>
                <w:rFonts w:hint="default" w:ascii="Times New Roman" w:hAnsi="Times New Roman" w:eastAsia="宋体" w:cs="Times New Roman"/>
                <w:b/>
                <w:bCs w:val="0"/>
                <w:color w:val="000000"/>
                <w:kern w:val="0"/>
                <w:sz w:val="21"/>
                <w:szCs w:val="21"/>
                <w:lang w:val="en-US" w:eastAsia="zh-CN"/>
              </w:rPr>
              <w:t>4</w:t>
            </w:r>
          </w:p>
        </w:tc>
        <w:tc>
          <w:tcPr>
            <w:tcW w:w="7893" w:type="dxa"/>
            <w:gridSpan w:val="3"/>
            <w:noWrap w:val="0"/>
            <w:vAlign w:val="center"/>
          </w:tcPr>
          <w:p>
            <w:pPr>
              <w:spacing w:line="240" w:lineRule="auto"/>
              <w:jc w:val="both"/>
              <w:rPr>
                <w:rFonts w:hint="default" w:ascii="Times New Roman" w:hAnsi="Times New Roman" w:cs="Times New Roman"/>
                <w:bCs/>
                <w:szCs w:val="22"/>
              </w:rPr>
            </w:pPr>
            <w:r>
              <w:rPr>
                <w:rFonts w:hint="default" w:ascii="Times New Roman" w:hAnsi="Times New Roman" w:cs="Times New Roman"/>
                <w:b/>
                <w:bCs w:val="0"/>
                <w:color w:val="000000"/>
                <w:sz w:val="21"/>
                <w:szCs w:val="21"/>
                <w:lang w:val="en-US" w:eastAsia="zh-CN"/>
              </w:rPr>
              <w:t>Topic</w:t>
            </w:r>
            <w:r>
              <w:rPr>
                <w:rFonts w:hint="default" w:ascii="Times New Roman" w:hAnsi="Times New Roman" w:eastAsia="宋体" w:cs="Times New Roman"/>
                <w:b/>
                <w:bCs w:val="0"/>
                <w:color w:val="000000"/>
                <w:sz w:val="21"/>
                <w:szCs w:val="21"/>
                <w:lang w:val="en-US" w:eastAsia="zh-CN"/>
              </w:rPr>
              <w:t>:</w:t>
            </w:r>
            <w:r>
              <w:rPr>
                <w:rFonts w:hint="default" w:ascii="Times New Roman" w:hAnsi="Times New Roman" w:cs="Times New Roman"/>
                <w:b/>
                <w:bCs w:val="0"/>
                <w:color w:val="000000"/>
                <w:sz w:val="21"/>
                <w:szCs w:val="21"/>
                <w:lang w:val="en-US" w:eastAsia="zh-CN"/>
              </w:rPr>
              <w:t xml:space="preserve"> </w:t>
            </w:r>
            <w:r>
              <w:rPr>
                <w:rFonts w:hint="default" w:ascii="Times New Roman" w:hAnsi="Times New Roman" w:cs="Times New Roman"/>
                <w:bCs/>
                <w:szCs w:val="22"/>
              </w:rPr>
              <w:t>The international rules of the military use of outer space</w:t>
            </w:r>
          </w:p>
          <w:p>
            <w:pPr>
              <w:spacing w:line="240" w:lineRule="auto"/>
              <w:jc w:val="both"/>
              <w:rPr>
                <w:rFonts w:hint="default" w:ascii="Times New Roman" w:hAnsi="Times New Roman" w:eastAsia="宋体" w:cs="Times New Roman"/>
                <w:b/>
                <w:bCs w:val="0"/>
                <w:color w:val="000000"/>
                <w:sz w:val="21"/>
                <w:szCs w:val="21"/>
                <w:lang w:val="en-US" w:eastAsia="zh-CN"/>
              </w:rPr>
            </w:pPr>
            <w:r>
              <w:rPr>
                <w:rFonts w:hint="default" w:ascii="Times New Roman" w:hAnsi="Times New Roman" w:cs="Times New Roman"/>
                <w:bCs/>
                <w:szCs w:val="22"/>
              </w:rPr>
              <w:t>It discusses the meaning of Article 4 in OST and its development tendency.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spacing w:line="240" w:lineRule="auto"/>
              <w:jc w:val="left"/>
              <w:rPr>
                <w:rFonts w:hint="default" w:ascii="Times New Roman" w:hAnsi="Times New Roman" w:eastAsia="宋体" w:cs="Times New Roman"/>
                <w:b/>
                <w:bCs w:val="0"/>
                <w:color w:val="000000"/>
                <w:kern w:val="0"/>
                <w:sz w:val="21"/>
                <w:szCs w:val="21"/>
                <w:lang w:val="en-US" w:eastAsia="zh-CN"/>
              </w:rPr>
            </w:pPr>
            <w:r>
              <w:rPr>
                <w:rFonts w:hint="default" w:ascii="Times New Roman" w:hAnsi="Times New Roman" w:eastAsia="宋体" w:cs="Times New Roman"/>
                <w:b/>
                <w:bCs w:val="0"/>
                <w:color w:val="000000"/>
                <w:kern w:val="0"/>
                <w:sz w:val="21"/>
                <w:szCs w:val="21"/>
              </w:rPr>
              <w:t xml:space="preserve">Chapter </w:t>
            </w:r>
            <w:r>
              <w:rPr>
                <w:rFonts w:hint="default" w:ascii="Times New Roman" w:hAnsi="Times New Roman" w:eastAsia="宋体" w:cs="Times New Roman"/>
                <w:b/>
                <w:bCs w:val="0"/>
                <w:color w:val="000000"/>
                <w:kern w:val="0"/>
                <w:sz w:val="21"/>
                <w:szCs w:val="21"/>
                <w:lang w:val="en-US" w:eastAsia="zh-CN"/>
              </w:rPr>
              <w:t>5</w:t>
            </w:r>
          </w:p>
        </w:tc>
        <w:tc>
          <w:tcPr>
            <w:tcW w:w="7893" w:type="dxa"/>
            <w:gridSpan w:val="3"/>
            <w:noWrap w:val="0"/>
            <w:vAlign w:val="center"/>
          </w:tcPr>
          <w:p>
            <w:pPr>
              <w:spacing w:line="240" w:lineRule="auto"/>
              <w:jc w:val="both"/>
              <w:rPr>
                <w:rFonts w:hint="default" w:ascii="Times New Roman" w:hAnsi="Times New Roman" w:eastAsia="宋体" w:cs="Times New Roman"/>
                <w:b/>
                <w:bCs w:val="0"/>
                <w:color w:val="000000"/>
                <w:sz w:val="21"/>
                <w:szCs w:val="21"/>
                <w:lang w:val="en-US" w:eastAsia="zh-CN"/>
              </w:rPr>
            </w:pPr>
            <w:r>
              <w:rPr>
                <w:rFonts w:hint="default" w:ascii="Times New Roman" w:hAnsi="Times New Roman" w:cs="Times New Roman"/>
                <w:b/>
                <w:bCs w:val="0"/>
                <w:color w:val="000000"/>
                <w:sz w:val="21"/>
                <w:szCs w:val="21"/>
                <w:lang w:val="en-US" w:eastAsia="zh-CN"/>
              </w:rPr>
              <w:t>Topic</w:t>
            </w:r>
            <w:r>
              <w:rPr>
                <w:rFonts w:hint="default" w:ascii="Times New Roman" w:hAnsi="Times New Roman" w:eastAsia="宋体" w:cs="Times New Roman"/>
                <w:b/>
                <w:bCs w:val="0"/>
                <w:color w:val="000000"/>
                <w:sz w:val="21"/>
                <w:szCs w:val="21"/>
                <w:lang w:val="en-US" w:eastAsia="zh-CN"/>
              </w:rPr>
              <w:t>:</w:t>
            </w:r>
            <w:r>
              <w:rPr>
                <w:rFonts w:hint="default" w:ascii="Times New Roman" w:hAnsi="Times New Roman" w:cs="Times New Roman"/>
                <w:b/>
                <w:bCs w:val="0"/>
                <w:color w:val="000000"/>
                <w:sz w:val="21"/>
                <w:szCs w:val="21"/>
                <w:lang w:val="en-US" w:eastAsia="zh-CN"/>
              </w:rPr>
              <w:t xml:space="preserve"> </w:t>
            </w:r>
            <w:r>
              <w:rPr>
                <w:rFonts w:hint="default" w:ascii="Times New Roman" w:hAnsi="Times New Roman" w:cs="Times New Roman"/>
                <w:bCs/>
                <w:szCs w:val="22"/>
              </w:rPr>
              <w:t>The state responsibility for activities in outer space</w:t>
            </w:r>
          </w:p>
          <w:p>
            <w:pPr>
              <w:spacing w:line="240" w:lineRule="auto"/>
              <w:jc w:val="both"/>
              <w:rPr>
                <w:rFonts w:hint="default" w:ascii="Times New Roman" w:hAnsi="Times New Roman" w:eastAsia="宋体" w:cs="Times New Roman"/>
                <w:b/>
                <w:bCs w:val="0"/>
                <w:color w:val="000000"/>
                <w:sz w:val="21"/>
                <w:szCs w:val="21"/>
                <w:lang w:val="en-US" w:eastAsia="zh-CN"/>
              </w:rPr>
            </w:pPr>
            <w:r>
              <w:rPr>
                <w:rFonts w:hint="default" w:ascii="Times New Roman" w:hAnsi="Times New Roman" w:cs="Times New Roman"/>
                <w:bCs/>
                <w:szCs w:val="22"/>
              </w:rPr>
              <w:t>It discusses the concept of state responsibility and its application in outer space.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rPr>
                <w:rFonts w:hint="default" w:ascii="Times New Roman" w:hAnsi="Times New Roman" w:cs="Times New Roman"/>
                <w:bCs/>
              </w:rPr>
            </w:pPr>
            <w:r>
              <w:rPr>
                <w:rFonts w:hint="default" w:ascii="Times New Roman" w:hAnsi="Times New Roman" w:cs="Times New Roman"/>
                <w:bCs/>
              </w:rPr>
              <w:t>Chapter 6</w:t>
            </w:r>
          </w:p>
          <w:p>
            <w:pPr>
              <w:spacing w:line="240" w:lineRule="auto"/>
              <w:jc w:val="left"/>
              <w:rPr>
                <w:rFonts w:hint="default" w:ascii="Times New Roman" w:hAnsi="Times New Roman" w:eastAsia="宋体" w:cs="Times New Roman"/>
                <w:b/>
                <w:bCs w:val="0"/>
                <w:color w:val="000000"/>
                <w:kern w:val="0"/>
                <w:sz w:val="21"/>
                <w:szCs w:val="21"/>
                <w:lang w:val="en-US" w:eastAsia="zh-CN"/>
              </w:rPr>
            </w:pPr>
          </w:p>
        </w:tc>
        <w:tc>
          <w:tcPr>
            <w:tcW w:w="7893" w:type="dxa"/>
            <w:gridSpan w:val="3"/>
            <w:noWrap w:val="0"/>
            <w:vAlign w:val="center"/>
          </w:tcPr>
          <w:p>
            <w:pPr>
              <w:spacing w:line="240" w:lineRule="auto"/>
              <w:jc w:val="left"/>
              <w:rPr>
                <w:rFonts w:hint="default" w:ascii="Times New Roman" w:hAnsi="Times New Roman" w:cs="Times New Roman"/>
                <w:bCs/>
                <w:szCs w:val="22"/>
              </w:rPr>
            </w:pPr>
            <w:r>
              <w:rPr>
                <w:rFonts w:hint="default" w:ascii="Times New Roman" w:hAnsi="Times New Roman" w:cs="Times New Roman"/>
                <w:b/>
                <w:bCs w:val="0"/>
                <w:color w:val="000000"/>
                <w:sz w:val="21"/>
                <w:szCs w:val="21"/>
                <w:lang w:val="en-US" w:eastAsia="zh-CN"/>
              </w:rPr>
              <w:t>Topic</w:t>
            </w:r>
            <w:r>
              <w:rPr>
                <w:rFonts w:hint="default" w:ascii="Times New Roman" w:hAnsi="Times New Roman" w:eastAsia="宋体" w:cs="Times New Roman"/>
                <w:b/>
                <w:bCs w:val="0"/>
                <w:color w:val="000000"/>
                <w:sz w:val="21"/>
                <w:szCs w:val="21"/>
                <w:lang w:val="en-US" w:eastAsia="zh-CN"/>
              </w:rPr>
              <w:t>:</w:t>
            </w:r>
            <w:r>
              <w:rPr>
                <w:rFonts w:hint="default" w:ascii="Times New Roman" w:hAnsi="Times New Roman" w:cs="Times New Roman"/>
                <w:b/>
                <w:bCs w:val="0"/>
                <w:color w:val="000000"/>
                <w:sz w:val="21"/>
                <w:szCs w:val="21"/>
                <w:lang w:val="en-US" w:eastAsia="zh-CN"/>
              </w:rPr>
              <w:t xml:space="preserve"> </w:t>
            </w:r>
            <w:r>
              <w:rPr>
                <w:rFonts w:hint="default" w:ascii="Times New Roman" w:hAnsi="Times New Roman" w:cs="Times New Roman"/>
                <w:bCs/>
                <w:szCs w:val="22"/>
              </w:rPr>
              <w:t>The dispute settlement mechanism in outer space</w:t>
            </w:r>
          </w:p>
          <w:p>
            <w:pPr>
              <w:spacing w:line="240" w:lineRule="auto"/>
              <w:jc w:val="both"/>
              <w:rPr>
                <w:rFonts w:hint="default" w:ascii="Times New Roman" w:hAnsi="Times New Roman" w:cs="Times New Roman"/>
                <w:bCs/>
                <w:szCs w:val="22"/>
                <w:lang w:val="en-US" w:eastAsia="zh-CN"/>
              </w:rPr>
            </w:pPr>
            <w:r>
              <w:rPr>
                <w:rFonts w:hint="default" w:ascii="Times New Roman" w:hAnsi="Times New Roman" w:cs="Times New Roman"/>
                <w:bCs/>
                <w:szCs w:val="22"/>
              </w:rPr>
              <w:t>It introduces the concept of the dispute settlement mechanism and its practical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rPr>
                <w:rFonts w:hint="default" w:ascii="Times New Roman" w:hAnsi="Times New Roman" w:cs="Times New Roman"/>
                <w:bCs/>
              </w:rPr>
            </w:pPr>
            <w:r>
              <w:rPr>
                <w:rFonts w:hint="default" w:ascii="Times New Roman" w:hAnsi="Times New Roman" w:cs="Times New Roman"/>
                <w:bCs/>
              </w:rPr>
              <w:t>Chapter 7</w:t>
            </w:r>
          </w:p>
          <w:p>
            <w:pPr>
              <w:spacing w:line="240" w:lineRule="auto"/>
              <w:jc w:val="left"/>
              <w:rPr>
                <w:rFonts w:hint="default" w:ascii="Times New Roman" w:hAnsi="Times New Roman" w:eastAsia="宋体" w:cs="Times New Roman"/>
                <w:b/>
                <w:bCs w:val="0"/>
                <w:color w:val="000000"/>
                <w:kern w:val="0"/>
                <w:sz w:val="21"/>
                <w:szCs w:val="21"/>
                <w:lang w:val="en-US" w:eastAsia="zh-CN"/>
              </w:rPr>
            </w:pPr>
          </w:p>
        </w:tc>
        <w:tc>
          <w:tcPr>
            <w:tcW w:w="7893" w:type="dxa"/>
            <w:gridSpan w:val="3"/>
            <w:noWrap w:val="0"/>
            <w:vAlign w:val="center"/>
          </w:tcPr>
          <w:p>
            <w:pPr>
              <w:spacing w:line="240" w:lineRule="auto"/>
              <w:jc w:val="left"/>
              <w:rPr>
                <w:rFonts w:hint="default" w:ascii="Times New Roman" w:hAnsi="Times New Roman" w:cs="Times New Roman"/>
                <w:bCs/>
                <w:szCs w:val="22"/>
              </w:rPr>
            </w:pPr>
            <w:r>
              <w:rPr>
                <w:rFonts w:hint="default" w:ascii="Times New Roman" w:hAnsi="Times New Roman" w:cs="Times New Roman"/>
                <w:b/>
                <w:bCs w:val="0"/>
                <w:color w:val="000000"/>
                <w:sz w:val="21"/>
                <w:szCs w:val="21"/>
                <w:lang w:val="en-US" w:eastAsia="zh-CN"/>
              </w:rPr>
              <w:t>Topic</w:t>
            </w:r>
            <w:r>
              <w:rPr>
                <w:rFonts w:hint="default" w:ascii="Times New Roman" w:hAnsi="Times New Roman" w:eastAsia="宋体" w:cs="Times New Roman"/>
                <w:b/>
                <w:bCs w:val="0"/>
                <w:color w:val="000000"/>
                <w:sz w:val="21"/>
                <w:szCs w:val="21"/>
                <w:lang w:val="en-US" w:eastAsia="zh-CN"/>
              </w:rPr>
              <w:t>:</w:t>
            </w:r>
            <w:r>
              <w:rPr>
                <w:rFonts w:hint="default" w:ascii="Times New Roman" w:hAnsi="Times New Roman" w:cs="Times New Roman"/>
                <w:b/>
                <w:bCs w:val="0"/>
                <w:color w:val="000000"/>
                <w:sz w:val="21"/>
                <w:szCs w:val="21"/>
                <w:lang w:val="en-US" w:eastAsia="zh-CN"/>
              </w:rPr>
              <w:t xml:space="preserve"> </w:t>
            </w:r>
            <w:r>
              <w:rPr>
                <w:rFonts w:hint="default" w:ascii="Times New Roman" w:hAnsi="Times New Roman" w:cs="Times New Roman"/>
                <w:bCs/>
                <w:szCs w:val="22"/>
              </w:rPr>
              <w:t>The requirement for writing an excellent memo for the moot court</w:t>
            </w:r>
          </w:p>
          <w:p>
            <w:pPr>
              <w:spacing w:line="240" w:lineRule="auto"/>
              <w:jc w:val="both"/>
              <w:rPr>
                <w:rFonts w:hint="default" w:ascii="Times New Roman" w:hAnsi="Times New Roman" w:cs="Times New Roman"/>
                <w:bCs/>
                <w:szCs w:val="22"/>
                <w:lang w:val="en-US" w:eastAsia="zh-CN"/>
              </w:rPr>
            </w:pPr>
            <w:r>
              <w:rPr>
                <w:rFonts w:hint="default" w:ascii="Times New Roman" w:hAnsi="Times New Roman" w:cs="Times New Roman"/>
                <w:bCs/>
              </w:rPr>
              <w:t>It discusses the methods and skills to write an excellent memo.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rPr>
                <w:rFonts w:hint="default" w:ascii="Times New Roman" w:hAnsi="Times New Roman" w:cs="Times New Roman"/>
                <w:bCs/>
              </w:rPr>
            </w:pPr>
            <w:r>
              <w:rPr>
                <w:rFonts w:hint="default" w:ascii="Times New Roman" w:hAnsi="Times New Roman" w:cs="Times New Roman"/>
                <w:bCs/>
              </w:rPr>
              <w:t>Chapter 8</w:t>
            </w:r>
          </w:p>
          <w:p>
            <w:pPr>
              <w:spacing w:line="240" w:lineRule="auto"/>
              <w:jc w:val="left"/>
              <w:rPr>
                <w:rFonts w:hint="default" w:ascii="Times New Roman" w:hAnsi="Times New Roman" w:eastAsia="宋体" w:cs="Times New Roman"/>
                <w:b/>
                <w:bCs w:val="0"/>
                <w:color w:val="000000"/>
                <w:kern w:val="0"/>
                <w:sz w:val="21"/>
                <w:szCs w:val="21"/>
                <w:lang w:val="en-US" w:eastAsia="zh-CN" w:bidi="ar-SA"/>
              </w:rPr>
            </w:pPr>
          </w:p>
        </w:tc>
        <w:tc>
          <w:tcPr>
            <w:tcW w:w="7893" w:type="dxa"/>
            <w:gridSpan w:val="3"/>
            <w:noWrap w:val="0"/>
            <w:vAlign w:val="center"/>
          </w:tcPr>
          <w:p>
            <w:pPr>
              <w:spacing w:line="240" w:lineRule="auto"/>
              <w:jc w:val="left"/>
              <w:rPr>
                <w:rFonts w:hint="default" w:ascii="Times New Roman" w:hAnsi="Times New Roman" w:cs="Times New Roman"/>
                <w:lang w:val="en-US" w:eastAsia="zh-CN"/>
              </w:rPr>
            </w:pPr>
            <w:r>
              <w:rPr>
                <w:rFonts w:hint="default" w:ascii="Times New Roman" w:hAnsi="Times New Roman" w:cs="Times New Roman"/>
                <w:b/>
                <w:bCs w:val="0"/>
                <w:color w:val="000000"/>
                <w:sz w:val="21"/>
                <w:szCs w:val="21"/>
                <w:lang w:val="en-US" w:eastAsia="zh-CN"/>
              </w:rPr>
              <w:t>Topic</w:t>
            </w:r>
            <w:r>
              <w:rPr>
                <w:rFonts w:hint="default" w:ascii="Times New Roman" w:hAnsi="Times New Roman" w:eastAsia="宋体" w:cs="Times New Roman"/>
                <w:b/>
                <w:bCs w:val="0"/>
                <w:color w:val="000000"/>
                <w:sz w:val="21"/>
                <w:szCs w:val="21"/>
                <w:lang w:val="en-US" w:eastAsia="zh-CN"/>
              </w:rPr>
              <w:t>:</w:t>
            </w:r>
            <w:r>
              <w:rPr>
                <w:rFonts w:hint="default" w:ascii="Times New Roman" w:hAnsi="Times New Roman" w:cs="Times New Roman"/>
                <w:b/>
                <w:bCs w:val="0"/>
                <w:color w:val="000000"/>
                <w:sz w:val="21"/>
                <w:szCs w:val="21"/>
                <w:lang w:val="en-US" w:eastAsia="zh-CN"/>
              </w:rPr>
              <w:t xml:space="preserve"> </w:t>
            </w:r>
            <w:r>
              <w:rPr>
                <w:rFonts w:hint="default" w:ascii="Times New Roman" w:hAnsi="Times New Roman" w:cs="Times New Roman"/>
                <w:lang w:val="en-US" w:eastAsia="zh-CN"/>
              </w:rPr>
              <w:t>English speech communication skills</w:t>
            </w:r>
          </w:p>
          <w:p>
            <w:pPr>
              <w:spacing w:line="240" w:lineRule="auto"/>
              <w:jc w:val="left"/>
              <w:rPr>
                <w:rFonts w:hint="default" w:ascii="Times New Roman" w:hAnsi="Times New Roman" w:cs="Times New Roman"/>
                <w:lang w:val="en-US" w:eastAsia="zh-CN"/>
              </w:rPr>
            </w:pPr>
            <w:r>
              <w:rPr>
                <w:rFonts w:hint="default" w:ascii="Times New Roman" w:hAnsi="Times New Roman" w:cs="Times New Roman"/>
                <w:bCs/>
                <w:szCs w:val="22"/>
              </w:rPr>
              <w:t xml:space="preserve">It introduces the </w:t>
            </w:r>
            <w:r>
              <w:rPr>
                <w:rFonts w:hint="default" w:ascii="Times New Roman" w:hAnsi="Times New Roman" w:cs="Times New Roman"/>
                <w:bCs/>
                <w:szCs w:val="22"/>
                <w:lang w:val="en-US" w:eastAsia="zh-CN"/>
              </w:rPr>
              <w:t>communication skills for English Presentations</w:t>
            </w:r>
            <w:r>
              <w:rPr>
                <w:rFonts w:hint="default" w:ascii="Times New Roman" w:hAnsi="Times New Roman" w:cs="Times New Roman"/>
                <w:bCs/>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rPr>
                <w:rFonts w:hint="default" w:ascii="Times New Roman" w:hAnsi="Times New Roman" w:cs="Times New Roman"/>
                <w:bCs/>
              </w:rPr>
            </w:pPr>
            <w:r>
              <w:rPr>
                <w:rFonts w:hint="default" w:ascii="Times New Roman" w:hAnsi="Times New Roman" w:cs="Times New Roman"/>
                <w:bCs/>
              </w:rPr>
              <w:t>Chapter 9</w:t>
            </w:r>
          </w:p>
          <w:p>
            <w:pPr>
              <w:spacing w:line="240" w:lineRule="auto"/>
              <w:jc w:val="left"/>
              <w:rPr>
                <w:rFonts w:hint="default" w:ascii="Times New Roman" w:hAnsi="Times New Roman" w:eastAsia="宋体" w:cs="Times New Roman"/>
                <w:b/>
                <w:bCs w:val="0"/>
                <w:color w:val="000000"/>
                <w:kern w:val="0"/>
                <w:sz w:val="21"/>
                <w:szCs w:val="21"/>
                <w:lang w:val="en-US" w:eastAsia="zh-CN" w:bidi="ar-SA"/>
              </w:rPr>
            </w:pPr>
          </w:p>
        </w:tc>
        <w:tc>
          <w:tcPr>
            <w:tcW w:w="7893" w:type="dxa"/>
            <w:gridSpan w:val="3"/>
            <w:noWrap w:val="0"/>
            <w:vAlign w:val="top"/>
          </w:tcPr>
          <w:p>
            <w:pPr>
              <w:rPr>
                <w:rFonts w:hint="default" w:ascii="Times New Roman" w:hAnsi="Times New Roman" w:cs="Times New Roman"/>
                <w:bCs/>
                <w:szCs w:val="22"/>
              </w:rPr>
            </w:pPr>
            <w:r>
              <w:rPr>
                <w:rFonts w:hint="default" w:ascii="Times New Roman" w:hAnsi="Times New Roman" w:cs="Times New Roman"/>
                <w:b/>
                <w:bCs w:val="0"/>
                <w:color w:val="000000"/>
                <w:sz w:val="21"/>
                <w:szCs w:val="21"/>
                <w:lang w:val="en-US" w:eastAsia="zh-CN"/>
              </w:rPr>
              <w:t>Topic</w:t>
            </w:r>
            <w:r>
              <w:rPr>
                <w:rFonts w:hint="default" w:ascii="Times New Roman" w:hAnsi="Times New Roman" w:eastAsia="宋体" w:cs="Times New Roman"/>
                <w:b/>
                <w:bCs w:val="0"/>
                <w:color w:val="000000"/>
                <w:sz w:val="21"/>
                <w:szCs w:val="21"/>
                <w:lang w:val="en-US" w:eastAsia="zh-CN"/>
              </w:rPr>
              <w:t>:</w:t>
            </w:r>
            <w:r>
              <w:rPr>
                <w:rFonts w:hint="default" w:ascii="Times New Roman" w:hAnsi="Times New Roman" w:cs="Times New Roman"/>
                <w:b/>
                <w:bCs w:val="0"/>
                <w:color w:val="000000"/>
                <w:sz w:val="21"/>
                <w:szCs w:val="21"/>
                <w:lang w:val="en-US" w:eastAsia="zh-CN"/>
              </w:rPr>
              <w:t xml:space="preserve"> </w:t>
            </w:r>
            <w:r>
              <w:rPr>
                <w:rFonts w:hint="default" w:ascii="Times New Roman" w:hAnsi="Times New Roman" w:cs="Times New Roman"/>
                <w:bCs/>
                <w:szCs w:val="22"/>
              </w:rPr>
              <w:t>The skills and methods for debating in the moot court</w:t>
            </w:r>
          </w:p>
          <w:p>
            <w:pPr>
              <w:rPr>
                <w:rFonts w:hint="default" w:ascii="Times New Roman" w:hAnsi="Times New Roman" w:cs="Times New Roman"/>
                <w:bCs/>
                <w:szCs w:val="22"/>
                <w:lang w:val="en-US" w:eastAsia="zh-CN"/>
              </w:rPr>
            </w:pPr>
            <w:r>
              <w:rPr>
                <w:rFonts w:hint="default" w:ascii="Times New Roman" w:hAnsi="Times New Roman" w:cs="Times New Roman"/>
                <w:bCs/>
              </w:rPr>
              <w:t>It practices the skills and methods for debating in the moot court.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spacing w:line="240" w:lineRule="auto"/>
              <w:jc w:val="left"/>
              <w:rPr>
                <w:rFonts w:hint="default" w:ascii="Times New Roman" w:hAnsi="Times New Roman" w:eastAsia="宋体" w:cs="Times New Roman"/>
                <w:b/>
                <w:bCs w:val="0"/>
                <w:color w:val="000000"/>
                <w:kern w:val="0"/>
                <w:sz w:val="21"/>
                <w:szCs w:val="21"/>
                <w:lang w:val="en-US" w:eastAsia="zh-CN" w:bidi="ar-SA"/>
              </w:rPr>
            </w:pPr>
            <w:r>
              <w:rPr>
                <w:rFonts w:hint="default" w:ascii="Times New Roman" w:hAnsi="Times New Roman" w:cs="Times New Roman"/>
                <w:bCs/>
              </w:rPr>
              <w:t xml:space="preserve">Chapter </w:t>
            </w:r>
            <w:r>
              <w:rPr>
                <w:rFonts w:hint="default" w:ascii="Times New Roman" w:hAnsi="Times New Roman" w:cs="Times New Roman"/>
                <w:bCs/>
                <w:lang w:val="en-US" w:eastAsia="zh-CN"/>
              </w:rPr>
              <w:t>10</w:t>
            </w:r>
          </w:p>
        </w:tc>
        <w:tc>
          <w:tcPr>
            <w:tcW w:w="7893" w:type="dxa"/>
            <w:gridSpan w:val="3"/>
            <w:noWrap w:val="0"/>
            <w:vAlign w:val="center"/>
          </w:tcPr>
          <w:p>
            <w:pPr>
              <w:spacing w:line="240" w:lineRule="auto"/>
              <w:jc w:val="left"/>
              <w:rPr>
                <w:rFonts w:hint="default" w:ascii="Times New Roman" w:hAnsi="Times New Roman" w:cs="Times New Roman"/>
                <w:bCs/>
                <w:szCs w:val="22"/>
              </w:rPr>
            </w:pPr>
            <w:r>
              <w:rPr>
                <w:rFonts w:hint="default" w:ascii="Times New Roman" w:hAnsi="Times New Roman" w:cs="Times New Roman"/>
                <w:b/>
                <w:bCs w:val="0"/>
                <w:color w:val="000000"/>
                <w:sz w:val="21"/>
                <w:szCs w:val="21"/>
                <w:lang w:val="en-US" w:eastAsia="zh-CN"/>
              </w:rPr>
              <w:t>Topic</w:t>
            </w:r>
            <w:r>
              <w:rPr>
                <w:rFonts w:hint="default" w:ascii="Times New Roman" w:hAnsi="Times New Roman" w:eastAsia="宋体" w:cs="Times New Roman"/>
                <w:b/>
                <w:bCs w:val="0"/>
                <w:color w:val="000000"/>
                <w:sz w:val="21"/>
                <w:szCs w:val="21"/>
                <w:lang w:val="en-US" w:eastAsia="zh-CN"/>
              </w:rPr>
              <w:t>:</w:t>
            </w:r>
            <w:r>
              <w:rPr>
                <w:rFonts w:hint="default" w:ascii="Times New Roman" w:hAnsi="Times New Roman" w:cs="Times New Roman"/>
                <w:b/>
                <w:bCs w:val="0"/>
                <w:color w:val="000000"/>
                <w:sz w:val="21"/>
                <w:szCs w:val="21"/>
                <w:lang w:val="en-US" w:eastAsia="zh-CN"/>
              </w:rPr>
              <w:t xml:space="preserve"> </w:t>
            </w:r>
            <w:r>
              <w:rPr>
                <w:rFonts w:hint="default" w:ascii="Times New Roman" w:hAnsi="Times New Roman" w:cs="Times New Roman"/>
                <w:bCs/>
                <w:szCs w:val="22"/>
              </w:rPr>
              <w:t>The international Space law moot court exercise</w:t>
            </w:r>
          </w:p>
          <w:p>
            <w:pPr>
              <w:spacing w:line="240" w:lineRule="auto"/>
              <w:jc w:val="left"/>
              <w:rPr>
                <w:rFonts w:hint="default" w:ascii="Times New Roman" w:hAnsi="Times New Roman" w:cs="Times New Roman"/>
                <w:bCs/>
                <w:szCs w:val="22"/>
                <w:lang w:val="en-US" w:eastAsia="zh-CN"/>
              </w:rPr>
            </w:pPr>
            <w:r>
              <w:rPr>
                <w:rFonts w:hint="default" w:ascii="Times New Roman" w:hAnsi="Times New Roman" w:cs="Times New Roman"/>
                <w:bCs/>
              </w:rPr>
              <w:t>The exercise of the moot court and produces the formal team to participate in the domestic round of the moot court competition.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spacing w:line="240" w:lineRule="auto"/>
              <w:jc w:val="left"/>
              <w:rPr>
                <w:rFonts w:hint="default" w:ascii="Times New Roman" w:hAnsi="Times New Roman" w:eastAsia="宋体" w:cs="Times New Roman"/>
                <w:b/>
                <w:bCs w:val="0"/>
                <w:color w:val="000000"/>
                <w:kern w:val="0"/>
                <w:sz w:val="21"/>
                <w:szCs w:val="21"/>
                <w:lang w:val="en-US" w:eastAsia="zh-CN" w:bidi="ar-SA"/>
              </w:rPr>
            </w:pPr>
            <w:r>
              <w:rPr>
                <w:rFonts w:hint="default" w:ascii="Times New Roman" w:hAnsi="Times New Roman" w:cs="Times New Roman"/>
                <w:bCs/>
              </w:rPr>
              <w:t xml:space="preserve">Chapter </w:t>
            </w:r>
            <w:r>
              <w:rPr>
                <w:rFonts w:hint="default" w:ascii="Times New Roman" w:hAnsi="Times New Roman" w:cs="Times New Roman"/>
                <w:bCs/>
                <w:lang w:val="en-US" w:eastAsia="zh-CN"/>
              </w:rPr>
              <w:t>11</w:t>
            </w:r>
          </w:p>
        </w:tc>
        <w:tc>
          <w:tcPr>
            <w:tcW w:w="7893" w:type="dxa"/>
            <w:gridSpan w:val="3"/>
            <w:noWrap w:val="0"/>
            <w:vAlign w:val="center"/>
          </w:tcPr>
          <w:p>
            <w:pPr>
              <w:spacing w:line="240" w:lineRule="auto"/>
              <w:jc w:val="left"/>
              <w:rPr>
                <w:rFonts w:hint="default" w:ascii="Times New Roman" w:hAnsi="Times New Roman" w:cs="Times New Roman"/>
                <w:lang w:val="en-US" w:eastAsia="zh-CN"/>
              </w:rPr>
            </w:pPr>
            <w:r>
              <w:rPr>
                <w:rFonts w:hint="default" w:ascii="Times New Roman" w:hAnsi="Times New Roman" w:cs="Times New Roman"/>
                <w:b/>
                <w:bCs w:val="0"/>
                <w:color w:val="000000"/>
                <w:sz w:val="21"/>
                <w:szCs w:val="21"/>
                <w:lang w:val="en-US" w:eastAsia="zh-CN"/>
              </w:rPr>
              <w:t>Topic</w:t>
            </w:r>
            <w:r>
              <w:rPr>
                <w:rFonts w:hint="default" w:ascii="Times New Roman" w:hAnsi="Times New Roman" w:eastAsia="宋体" w:cs="Times New Roman"/>
                <w:b/>
                <w:bCs w:val="0"/>
                <w:color w:val="000000"/>
                <w:sz w:val="21"/>
                <w:szCs w:val="21"/>
                <w:lang w:val="en-US" w:eastAsia="zh-CN"/>
              </w:rPr>
              <w:t>:</w:t>
            </w:r>
            <w:r>
              <w:rPr>
                <w:rFonts w:hint="default" w:ascii="Times New Roman" w:hAnsi="Times New Roman" w:cs="Times New Roman"/>
                <w:b/>
                <w:bCs w:val="0"/>
                <w:color w:val="000000"/>
                <w:sz w:val="21"/>
                <w:szCs w:val="21"/>
                <w:lang w:val="en-US" w:eastAsia="zh-CN"/>
              </w:rPr>
              <w:t xml:space="preserve"> </w:t>
            </w:r>
            <w:r>
              <w:rPr>
                <w:rFonts w:hint="default" w:ascii="Times New Roman" w:hAnsi="Times New Roman" w:cs="Times New Roman"/>
                <w:lang w:val="en-US" w:eastAsia="zh-CN"/>
              </w:rPr>
              <w:t>Personal image</w:t>
            </w:r>
          </w:p>
          <w:p>
            <w:pPr>
              <w:spacing w:line="240" w:lineRule="auto"/>
              <w:jc w:val="left"/>
              <w:rPr>
                <w:rFonts w:hint="default" w:ascii="Times New Roman" w:hAnsi="Times New Roman" w:cs="Times New Roman"/>
                <w:lang w:val="en-US" w:eastAsia="zh-CN"/>
              </w:rPr>
            </w:pPr>
            <w:r>
              <w:rPr>
                <w:rFonts w:hint="default" w:ascii="Times New Roman" w:hAnsi="Times New Roman" w:cs="Times New Roman"/>
                <w:bCs/>
              </w:rPr>
              <w:t xml:space="preserve">It discusses the </w:t>
            </w:r>
            <w:r>
              <w:rPr>
                <w:rFonts w:hint="default" w:ascii="Times New Roman" w:hAnsi="Times New Roman" w:cs="Times New Roman"/>
                <w:bCs/>
                <w:lang w:val="en-US" w:eastAsia="zh-CN"/>
              </w:rPr>
              <w:t>basic tips for different dress-codes and formation of personal image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noWrap w:val="0"/>
            <w:vAlign w:val="center"/>
          </w:tcPr>
          <w:p>
            <w:pPr>
              <w:spacing w:line="240" w:lineRule="auto"/>
              <w:jc w:val="left"/>
              <w:rPr>
                <w:rFonts w:hint="default" w:ascii="Times New Roman" w:hAnsi="Times New Roman" w:eastAsia="宋体" w:cs="Times New Roman"/>
                <w:b/>
                <w:bCs w:val="0"/>
                <w:color w:val="000000"/>
                <w:kern w:val="0"/>
                <w:sz w:val="21"/>
                <w:szCs w:val="21"/>
                <w:lang w:val="en-US" w:eastAsia="zh-CN"/>
              </w:rPr>
            </w:pPr>
            <w:r>
              <w:rPr>
                <w:rFonts w:hint="default" w:ascii="Times New Roman" w:hAnsi="Times New Roman" w:cs="Times New Roman"/>
                <w:bCs/>
              </w:rPr>
              <w:t xml:space="preserve">Chapter </w:t>
            </w:r>
            <w:r>
              <w:rPr>
                <w:rFonts w:hint="default" w:ascii="Times New Roman" w:hAnsi="Times New Roman" w:cs="Times New Roman"/>
                <w:bCs/>
                <w:lang w:val="en-US" w:eastAsia="zh-CN"/>
              </w:rPr>
              <w:t>12</w:t>
            </w:r>
          </w:p>
        </w:tc>
        <w:tc>
          <w:tcPr>
            <w:tcW w:w="7893" w:type="dxa"/>
            <w:gridSpan w:val="3"/>
            <w:noWrap w:val="0"/>
            <w:vAlign w:val="center"/>
          </w:tcPr>
          <w:p>
            <w:pPr>
              <w:spacing w:line="240" w:lineRule="auto"/>
              <w:jc w:val="left"/>
              <w:rPr>
                <w:rFonts w:hint="default" w:ascii="Times New Roman" w:hAnsi="Times New Roman" w:cs="Times New Roman"/>
                <w:lang w:val="en-US" w:eastAsia="zh-CN"/>
              </w:rPr>
            </w:pPr>
            <w:r>
              <w:rPr>
                <w:rFonts w:hint="default" w:ascii="Times New Roman" w:hAnsi="Times New Roman" w:cs="Times New Roman"/>
                <w:b/>
                <w:bCs w:val="0"/>
                <w:color w:val="000000"/>
                <w:sz w:val="21"/>
                <w:szCs w:val="21"/>
                <w:lang w:val="en-US" w:eastAsia="zh-CN"/>
              </w:rPr>
              <w:t>Topic</w:t>
            </w:r>
            <w:r>
              <w:rPr>
                <w:rFonts w:hint="default" w:ascii="Times New Roman" w:hAnsi="Times New Roman" w:eastAsia="宋体" w:cs="Times New Roman"/>
                <w:b/>
                <w:bCs w:val="0"/>
                <w:color w:val="000000"/>
                <w:sz w:val="21"/>
                <w:szCs w:val="21"/>
                <w:lang w:val="en-US" w:eastAsia="zh-CN"/>
              </w:rPr>
              <w:t>:</w:t>
            </w:r>
            <w:r>
              <w:rPr>
                <w:rFonts w:hint="default" w:ascii="Times New Roman" w:hAnsi="Times New Roman" w:cs="Times New Roman"/>
                <w:b/>
                <w:bCs w:val="0"/>
                <w:color w:val="000000"/>
                <w:sz w:val="21"/>
                <w:szCs w:val="21"/>
                <w:lang w:val="en-US" w:eastAsia="zh-CN"/>
              </w:rPr>
              <w:t xml:space="preserve"> </w:t>
            </w:r>
            <w:r>
              <w:rPr>
                <w:rFonts w:hint="default" w:ascii="Times New Roman" w:hAnsi="Times New Roman" w:cs="Times New Roman"/>
                <w:lang w:val="en-US" w:eastAsia="zh-CN"/>
              </w:rPr>
              <w:t>Cross-cultural Communication Skills</w:t>
            </w:r>
          </w:p>
          <w:p>
            <w:pPr>
              <w:spacing w:line="240" w:lineRule="auto"/>
              <w:jc w:val="left"/>
              <w:rPr>
                <w:rFonts w:hint="default" w:ascii="Times New Roman" w:hAnsi="Times New Roman" w:cs="Times New Roman"/>
                <w:lang w:val="en-US" w:eastAsia="zh-CN"/>
              </w:rPr>
            </w:pPr>
            <w:r>
              <w:rPr>
                <w:rFonts w:hint="default" w:ascii="Times New Roman" w:hAnsi="Times New Roman" w:cs="Times New Roman"/>
                <w:bCs/>
                <w:szCs w:val="22"/>
              </w:rPr>
              <w:t xml:space="preserve">It introduces the </w:t>
            </w:r>
            <w:r>
              <w:rPr>
                <w:rFonts w:hint="default" w:ascii="Times New Roman" w:hAnsi="Times New Roman" w:cs="Times New Roman"/>
                <w:bCs/>
                <w:szCs w:val="22"/>
                <w:lang w:val="en-US" w:eastAsia="zh-CN"/>
              </w:rPr>
              <w:t>basic skills to analyze and adapt to audience from different cultures.</w:t>
            </w:r>
          </w:p>
        </w:tc>
      </w:tr>
    </w:tbl>
    <w:p>
      <w:pPr>
        <w:spacing w:line="240" w:lineRule="auto"/>
        <w:ind w:firstLine="843" w:firstLineChars="300"/>
        <w:jc w:val="both"/>
        <w:rPr>
          <w:rFonts w:hint="eastAsia"/>
          <w:b/>
          <w:bCs/>
          <w:sz w:val="28"/>
          <w:szCs w:val="28"/>
          <w:lang w:val="en-US" w:eastAsia="zh-CN"/>
        </w:rPr>
      </w:pPr>
    </w:p>
    <w:sectPr>
      <w:pgSz w:w="11906" w:h="16838"/>
      <w:pgMar w:top="1440" w:right="567" w:bottom="1440"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7"/>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ZDg1ZWY3NTYwMTg0OGE4NjNhMDY3YTg4Njc0ZmEifQ=="/>
  </w:docVars>
  <w:rsids>
    <w:rsidRoot w:val="008B3200"/>
    <w:rsid w:val="000A5BA8"/>
    <w:rsid w:val="001236D9"/>
    <w:rsid w:val="001857B2"/>
    <w:rsid w:val="002D0E69"/>
    <w:rsid w:val="002F1131"/>
    <w:rsid w:val="003D5FB2"/>
    <w:rsid w:val="004C6A24"/>
    <w:rsid w:val="00510AE5"/>
    <w:rsid w:val="00516D69"/>
    <w:rsid w:val="00597125"/>
    <w:rsid w:val="005B29DC"/>
    <w:rsid w:val="006149F7"/>
    <w:rsid w:val="006B260D"/>
    <w:rsid w:val="00752B7F"/>
    <w:rsid w:val="008570F2"/>
    <w:rsid w:val="00876C61"/>
    <w:rsid w:val="008B3200"/>
    <w:rsid w:val="009E35A0"/>
    <w:rsid w:val="00A95D09"/>
    <w:rsid w:val="00B27B73"/>
    <w:rsid w:val="00CA0588"/>
    <w:rsid w:val="00CB039E"/>
    <w:rsid w:val="00D54EFD"/>
    <w:rsid w:val="00E650C3"/>
    <w:rsid w:val="00E826E3"/>
    <w:rsid w:val="00EA45E8"/>
    <w:rsid w:val="00F06ED2"/>
    <w:rsid w:val="0280574F"/>
    <w:rsid w:val="02D7261A"/>
    <w:rsid w:val="115B29B5"/>
    <w:rsid w:val="11A33565"/>
    <w:rsid w:val="26D5277C"/>
    <w:rsid w:val="297E3053"/>
    <w:rsid w:val="32D95C53"/>
    <w:rsid w:val="37896BD1"/>
    <w:rsid w:val="3DF6176B"/>
    <w:rsid w:val="3E0C4E25"/>
    <w:rsid w:val="44A81F0F"/>
    <w:rsid w:val="45CF761C"/>
    <w:rsid w:val="5F155A94"/>
    <w:rsid w:val="69E765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iPriority w:val="1624"/>
    <w:pPr>
      <w:ind w:firstLine="420"/>
    </w:pPr>
    <w:rPr>
      <w:sz w:val="2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字符"/>
    <w:link w:val="3"/>
    <w:uiPriority w:val="0"/>
    <w:rPr>
      <w:kern w:val="2"/>
      <w:sz w:val="18"/>
      <w:szCs w:val="18"/>
    </w:rPr>
  </w:style>
  <w:style w:type="character" w:customStyle="1" w:styleId="9">
    <w:name w:val="页眉 字符"/>
    <w:link w:val="4"/>
    <w:qFormat/>
    <w:uiPriority w:val="0"/>
    <w:rPr>
      <w:kern w:val="2"/>
      <w:sz w:val="18"/>
      <w:szCs w:val="18"/>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
    <w:name w:val="hps"/>
    <w:basedOn w:val="7"/>
    <w:qFormat/>
    <w:uiPriority w:val="0"/>
  </w:style>
  <w:style w:type="paragraph" w:customStyle="1" w:styleId="12">
    <w:name w:val="tgt1"/>
    <w:basedOn w:val="1"/>
    <w:qFormat/>
    <w:uiPriority w:val="0"/>
    <w:pPr>
      <w:widowControl/>
      <w:spacing w:after="15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高发公司</Company>
  <Pages>3</Pages>
  <Words>845</Words>
  <Characters>4551</Characters>
  <Lines>33</Lines>
  <Paragraphs>9</Paragraphs>
  <TotalTime>24</TotalTime>
  <ScaleCrop>false</ScaleCrop>
  <LinksUpToDate>false</LinksUpToDate>
  <CharactersWithSpaces>5298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2011-05-28T13:21:00Z</dcterms:created>
  <dc:creator>IBM</dc:creator>
  <cp:lastModifiedBy>肖鹏</cp:lastModifiedBy>
  <dcterms:modified xsi:type="dcterms:W3CDTF">2022-11-01T13:10:36Z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7C1C651C6DDC45869AA0B45164DECE22</vt:lpwstr>
  </property>
</Properties>
</file>